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56"/>
        </w:rPr>
        <w:t>Pool Predictive Maintenance System</w:t>
      </w:r>
    </w:p>
    <w:p>
      <w:pPr>
        <w:jc w:val="center"/>
      </w:pPr>
      <w:r>
        <w:rPr>
          <w:rFonts w:ascii="Calibri" w:hAnsi="Calibri"/>
          <w:color w:val="2C3E6B"/>
          <w:sz w:val="32"/>
        </w:rPr>
        <w:t>Performance Report &amp; Model Analysis</w:t>
      </w:r>
    </w:p>
    <w:p/>
    <w:p>
      <w:pPr>
        <w:jc w:val="center"/>
      </w:pPr>
      <w:r>
        <w:rPr>
          <w:color w:val="2C3E6B"/>
        </w:rPr>
        <w:t>━━━━━━━━━━━━━━━━━━━━━━━━━━━━━━━━━━━━━━━━</w:t>
      </w:r>
    </w:p>
    <w:p/>
    <w:p>
      <w:pPr>
        <w:jc w:val="center"/>
      </w:pPr>
      <w:r>
        <w:rPr>
          <w:color w:val="666666"/>
          <w:sz w:val="22"/>
        </w:rPr>
        <w:t xml:space="preserve">Client: </w:t>
      </w:r>
      <w:r>
        <w:rPr>
          <w:b/>
          <w:sz w:val="22"/>
        </w:rPr>
        <w:t>SPP System — Pool Maintenance Services</w:t>
      </w:r>
    </w:p>
    <w:p>
      <w:pPr>
        <w:jc w:val="center"/>
      </w:pPr>
      <w:r>
        <w:rPr>
          <w:color w:val="666666"/>
          <w:sz w:val="22"/>
        </w:rPr>
        <w:t xml:space="preserve">Region: </w:t>
      </w:r>
      <w:r>
        <w:rPr>
          <w:b/>
          <w:sz w:val="22"/>
        </w:rPr>
        <w:t>Comunitat Valenciana, Spain</w:t>
      </w:r>
    </w:p>
    <w:p>
      <w:pPr>
        <w:jc w:val="center"/>
      </w:pPr>
      <w:r>
        <w:rPr>
          <w:color w:val="666666"/>
          <w:sz w:val="22"/>
        </w:rPr>
        <w:t xml:space="preserve">Regulatory Basis: </w:t>
      </w:r>
      <w:r>
        <w:rPr>
          <w:b/>
          <w:sz w:val="22"/>
        </w:rPr>
        <w:t>Real Decreto 742/2013 · Decreto 85/2018</w:t>
      </w:r>
    </w:p>
    <w:p>
      <w:pPr>
        <w:jc w:val="center"/>
      </w:pPr>
      <w:r>
        <w:rPr>
          <w:color w:val="666666"/>
          <w:sz w:val="22"/>
        </w:rPr>
        <w:t xml:space="preserve">Date: </w:t>
      </w:r>
      <w:r>
        <w:rPr>
          <w:b/>
          <w:sz w:val="22"/>
        </w:rPr>
        <w:t>July 01, 2026</w:t>
      </w:r>
    </w:p>
    <w:p>
      <w:pPr>
        <w:jc w:val="center"/>
      </w:pPr>
      <w:r>
        <w:rPr>
          <w:color w:val="666666"/>
          <w:sz w:val="22"/>
        </w:rPr>
        <w:t xml:space="preserve">Fleet Size: </w:t>
      </w:r>
      <w:r>
        <w:rPr>
          <w:b/>
          <w:sz w:val="22"/>
        </w:rPr>
        <w:t>486 pools</w:t>
      </w:r>
    </w:p>
    <w:p>
      <w:pPr>
        <w:jc w:val="center"/>
      </w:pPr>
      <w:r>
        <w:rPr>
          <w:color w:val="666666"/>
          <w:sz w:val="22"/>
        </w:rPr>
        <w:t xml:space="preserve">Data Period: </w:t>
      </w:r>
      <w:r>
        <w:rPr>
          <w:b/>
          <w:sz w:val="22"/>
        </w:rPr>
        <w:t>April 2017 – December 2022 (5.7 years)</w:t>
      </w:r>
    </w:p>
    <w:p>
      <w:r>
        <w:br w:type="page"/>
      </w:r>
    </w:p>
    <w:p>
      <w:pPr>
        <w:pStyle w:val="Heading1"/>
      </w:pPr>
      <w:r>
        <w:t>Table of Contents</w:t>
      </w:r>
    </w:p>
    <w:p>
      <w:r>
        <w:rPr>
          <w:b/>
          <w:sz w:val="24"/>
        </w:rPr>
        <w:t>1.  Executive Summary</w:t>
      </w:r>
    </w:p>
    <w:p>
      <w:r>
        <w:rPr>
          <w:sz w:val="24"/>
        </w:rPr>
        <w:t>2.  Regulatory Context</w:t>
      </w:r>
    </w:p>
    <w:p>
      <w:r>
        <w:rPr>
          <w:sz w:val="24"/>
        </w:rPr>
        <w:t>3.  How the System Works</w:t>
      </w:r>
    </w:p>
    <w:p>
      <w:r>
        <w:rPr>
          <w:sz w:val="24"/>
        </w:rPr>
        <w:t>4.  Why This Approach</w:t>
      </w:r>
    </w:p>
    <w:p>
      <w:r>
        <w:rPr>
          <w:b/>
          <w:sz w:val="24"/>
        </w:rPr>
        <w:t>5.  Model Comparison (V3 vs V5 Candidates)</w:t>
      </w:r>
    </w:p>
    <w:p>
      <w:r>
        <w:rPr>
          <w:b/>
          <w:sz w:val="24"/>
        </w:rPr>
        <w:t>6.  Limitations &amp; Known Risks</w:t>
      </w:r>
    </w:p>
    <w:p>
      <w:r>
        <w:rPr>
          <w:sz w:val="24"/>
        </w:rPr>
        <w:t>7.  Example Outputs</w:t>
      </w:r>
    </w:p>
    <w:p>
      <w:r>
        <w:rPr>
          <w:sz w:val="24"/>
        </w:rPr>
        <w:t>8.  Recommended Next Steps</w:t>
      </w:r>
    </w:p>
    <w:p>
      <w:r>
        <w:br w:type="page"/>
      </w:r>
    </w:p>
    <w:p>
      <w:pPr>
        <w:pStyle w:val="Heading1"/>
      </w:pPr>
      <w:r>
        <w:t>1. Executive Summary</w:t>
      </w:r>
    </w:p>
    <w:p>
      <w:r>
        <w:t>This system predicts when each swimming pool in your fleet needs its next maintenance visit and what chemicals the technician should bring — reducing unnecessary trips while ensuring no pool falls below the safety standards set by Spanish regulation.</w:t>
      </w:r>
    </w:p>
    <w:p>
      <w:r>
        <w:t>Built on 5.7 years of real maintenance data from 486 pools serviced by SPP System in Alicante, the system delivers three key capabilities:</w:t>
      </w:r>
    </w:p>
    <w:p>
      <w:pPr>
        <w:pStyle w:val="ListBullet"/>
        <w:spacing w:after="80"/>
      </w:pPr>
      <w:r>
        <w:t>Visit Timing: Recommends when to visit each pool (accurate to within ~1 day on average), flagging pools that need attention sooner than the standard schedule.</w:t>
      </w:r>
    </w:p>
    <w:p>
      <w:pPr>
        <w:pStyle w:val="ListBullet"/>
        <w:spacing w:after="80"/>
      </w:pPr>
      <w:r>
        <w:t>Water Chemistry Forecasting: Predicts pH, chlorine, and turbidity levels at the next visit, with pH predictions accurate to within 0.08 pH units — matching the precision of handheld meters.</w:t>
      </w:r>
    </w:p>
    <w:p>
      <w:pPr>
        <w:pStyle w:val="ListBullet"/>
        <w:spacing w:after="80"/>
      </w:pPr>
      <w:r>
        <w:t>Chemical Demand: Calculates exactly how many kilograms of sodium hypochlorite, pH corrector, or flocculant the technician should bring, based on the predicted water chemistry and pool volume.</w:t>
      </w:r>
    </w:p>
    <w:p>
      <w:r>
        <w:t>The system is grounded in the thresholds defined by Real Decreto 742/2013 and applies conservative safety logic: when in doubt, it recommends visiting earlier rather than later.</w:t>
      </w:r>
    </w:p>
    <w:p>
      <w:pPr>
        <w:pStyle w:val="Heading1"/>
      </w:pPr>
      <w:r>
        <w:t>2. Regulatory Context</w:t>
      </w:r>
    </w:p>
    <w:p>
      <w:r>
        <w:t>All predictions and prescriptions are anchored to the water quality standards set by Spanish national and Valencian regional regulation: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6B" w:val="clear"/>
          </w:tcPr>
          <w:p>
            <w:pPr>
              <w:spacing w:before="60" w:after="60"/>
              <w:jc w:val="left"/>
            </w:pPr>
            <w:r>
              <w:rPr>
                <w:rFonts w:ascii="Calibri" w:hAnsi="Calibri"/>
                <w:b/>
                <w:color w:val="FFFFFF"/>
                <w:sz w:val="20"/>
              </w:rPr>
              <w:t>Parameter</w:t>
            </w:r>
          </w:p>
        </w:tc>
        <w:tc>
          <w:tcPr>
            <w:tcW w:type="dxa" w:w="2880"/>
            <w:shd w:fill="2C3E6B" w:val="clear"/>
          </w:tcPr>
          <w:p>
            <w:pPr>
              <w:spacing w:before="60" w:after="60"/>
              <w:jc w:val="left"/>
            </w:pPr>
            <w:r>
              <w:rPr>
                <w:rFonts w:ascii="Calibri" w:hAnsi="Calibri"/>
                <w:b/>
                <w:color w:val="FFFFFF"/>
                <w:sz w:val="20"/>
              </w:rPr>
              <w:t>Compliant Range</w:t>
            </w:r>
          </w:p>
        </w:tc>
        <w:tc>
          <w:tcPr>
            <w:tcW w:type="dxa" w:w="2880"/>
            <w:shd w:fill="2C3E6B" w:val="clear"/>
          </w:tcPr>
          <w:p>
            <w:pPr>
              <w:spacing w:before="60" w:after="60"/>
              <w:jc w:val="left"/>
            </w:pPr>
            <w:r>
              <w:rPr>
                <w:rFonts w:ascii="Calibri" w:hAnsi="Calibri"/>
                <w:b/>
                <w:color w:val="FFFFFF"/>
                <w:sz w:val="20"/>
              </w:rPr>
              <w:t>Consequence of Breach</w:t>
            </w:r>
          </w:p>
        </w:tc>
      </w:tr>
      <w:tr>
        <w:tc>
          <w:tcPr>
            <w:tcW w:type="dxa" w:w="2880"/>
          </w:tcPr>
          <w:p>
            <w:pPr>
              <w:spacing w:before="60" w:after="60"/>
              <w:jc w:val="left"/>
            </w:pPr>
            <w:r>
              <w:rPr>
                <w:rFonts w:ascii="Calibri" w:hAnsi="Calibri"/>
                <w:sz w:val="20"/>
              </w:rPr>
              <w:t>Free Chlorine</w:t>
            </w:r>
          </w:p>
        </w:tc>
        <w:tc>
          <w:tcPr>
            <w:tcW w:type="dxa" w:w="2880"/>
          </w:tcPr>
          <w:p>
            <w:pPr>
              <w:spacing w:before="60" w:after="60"/>
              <w:jc w:val="left"/>
            </w:pPr>
            <w:r>
              <w:rPr>
                <w:rFonts w:ascii="Calibri" w:hAnsi="Calibri"/>
                <w:sz w:val="20"/>
              </w:rPr>
              <w:t>0.5 – 2.0 mg/L (ideal)</w:t>
              <w:br/>
              <w:t>0.5 – 5.0 mg/L (safe)</w:t>
            </w:r>
          </w:p>
        </w:tc>
        <w:tc>
          <w:tcPr>
            <w:tcW w:type="dxa" w:w="2880"/>
          </w:tcPr>
          <w:p>
            <w:pPr>
              <w:spacing w:before="60" w:after="60"/>
              <w:jc w:val="left"/>
            </w:pPr>
            <w:r>
              <w:rPr>
                <w:rFonts w:ascii="Calibri" w:hAnsi="Calibri"/>
                <w:sz w:val="20"/>
              </w:rPr>
              <w:t>&lt; 0.5: Pathogen risk</w:t>
              <w:br/>
              <w:t>&gt; 5.0: Mandatory pool closure</w:t>
            </w:r>
          </w:p>
        </w:tc>
      </w:tr>
      <w:tr>
        <w:tc>
          <w:tcPr>
            <w:tcW w:type="dxa" w:w="2880"/>
            <w:shd w:fill="F5F7FA" w:val="clear"/>
          </w:tcPr>
          <w:p>
            <w:pPr>
              <w:spacing w:before="60" w:after="60"/>
              <w:jc w:val="left"/>
            </w:pPr>
            <w:r>
              <w:rPr>
                <w:rFonts w:ascii="Calibri" w:hAnsi="Calibri"/>
                <w:sz w:val="20"/>
              </w:rPr>
              <w:t>pH</w:t>
            </w:r>
          </w:p>
        </w:tc>
        <w:tc>
          <w:tcPr>
            <w:tcW w:type="dxa" w:w="2880"/>
            <w:shd w:fill="F5F7FA" w:val="clear"/>
          </w:tcPr>
          <w:p>
            <w:pPr>
              <w:spacing w:before="60" w:after="60"/>
              <w:jc w:val="left"/>
            </w:pPr>
            <w:r>
              <w:rPr>
                <w:rFonts w:ascii="Calibri" w:hAnsi="Calibri"/>
                <w:sz w:val="20"/>
              </w:rPr>
              <w:t>7.2 – 8.0</w:t>
            </w:r>
          </w:p>
        </w:tc>
        <w:tc>
          <w:tcPr>
            <w:tcW w:type="dxa" w:w="2880"/>
            <w:shd w:fill="F5F7FA" w:val="clear"/>
          </w:tcPr>
          <w:p>
            <w:pPr>
              <w:spacing w:before="60" w:after="60"/>
              <w:jc w:val="left"/>
            </w:pPr>
            <w:r>
              <w:rPr>
                <w:rFonts w:ascii="Calibri" w:hAnsi="Calibri"/>
                <w:sz w:val="20"/>
              </w:rPr>
              <w:t>Skin/eye irritation;</w:t>
              <w:br/>
              <w:t>reduced disinfection efficacy</w:t>
            </w:r>
          </w:p>
        </w:tc>
      </w:tr>
      <w:tr>
        <w:tc>
          <w:tcPr>
            <w:tcW w:type="dxa" w:w="2880"/>
          </w:tcPr>
          <w:p>
            <w:pPr>
              <w:spacing w:before="60" w:after="60"/>
              <w:jc w:val="left"/>
            </w:pPr>
            <w:r>
              <w:rPr>
                <w:rFonts w:ascii="Calibri" w:hAnsi="Calibri"/>
                <w:sz w:val="20"/>
              </w:rPr>
              <w:t>Turbidity</w:t>
            </w:r>
          </w:p>
        </w:tc>
        <w:tc>
          <w:tcPr>
            <w:tcW w:type="dxa" w:w="2880"/>
          </w:tcPr>
          <w:p>
            <w:pPr>
              <w:spacing w:before="60" w:after="60"/>
              <w:jc w:val="left"/>
            </w:pPr>
            <w:r>
              <w:rPr>
                <w:rFonts w:ascii="Calibri" w:hAnsi="Calibri"/>
                <w:sz w:val="20"/>
              </w:rPr>
              <w:t>≤ 5 NTU</w:t>
            </w:r>
          </w:p>
        </w:tc>
        <w:tc>
          <w:tcPr>
            <w:tcW w:type="dxa" w:w="2880"/>
          </w:tcPr>
          <w:p>
            <w:pPr>
              <w:spacing w:before="60" w:after="60"/>
              <w:jc w:val="left"/>
            </w:pPr>
            <w:r>
              <w:rPr>
                <w:rFonts w:ascii="Calibri" w:hAnsi="Calibri"/>
                <w:sz w:val="20"/>
              </w:rPr>
              <w:t>Reduced visibility;</w:t>
              <w:br/>
              <w:t>potential contamination</w:t>
            </w:r>
          </w:p>
        </w:tc>
      </w:tr>
      <w:tr>
        <w:tc>
          <w:tcPr>
            <w:tcW w:type="dxa" w:w="2880"/>
            <w:shd w:fill="F5F7FA" w:val="clear"/>
          </w:tcPr>
          <w:p>
            <w:pPr>
              <w:spacing w:before="60" w:after="60"/>
              <w:jc w:val="left"/>
            </w:pPr>
            <w:r>
              <w:rPr>
                <w:rFonts w:ascii="Calibri" w:hAnsi="Calibri"/>
                <w:sz w:val="20"/>
              </w:rPr>
              <w:t>Monitoring</w:t>
            </w:r>
          </w:p>
        </w:tc>
        <w:tc>
          <w:tcPr>
            <w:tcW w:type="dxa" w:w="2880"/>
            <w:shd w:fill="F5F7FA" w:val="clear"/>
          </w:tcPr>
          <w:p>
            <w:pPr>
              <w:spacing w:before="60" w:after="60"/>
              <w:jc w:val="left"/>
            </w:pPr>
            <w:r>
              <w:rPr>
                <w:rFonts w:ascii="Calibri" w:hAnsi="Calibri"/>
                <w:sz w:val="20"/>
              </w:rPr>
              <w:t>Daily autocontrol required</w:t>
            </w:r>
          </w:p>
        </w:tc>
        <w:tc>
          <w:tcPr>
            <w:tcW w:type="dxa" w:w="2880"/>
            <w:shd w:fill="F5F7FA" w:val="clear"/>
          </w:tcPr>
          <w:p>
            <w:pPr>
              <w:spacing w:before="60" w:after="60"/>
              <w:jc w:val="left"/>
            </w:pPr>
            <w:r>
              <w:rPr>
                <w:rFonts w:ascii="Calibri" w:hAnsi="Calibri"/>
                <w:sz w:val="20"/>
              </w:rPr>
              <w:t>Decreto 85/2018 (Comunitat Valenciana)</w:t>
            </w:r>
          </w:p>
        </w:tc>
      </w:tr>
    </w:tbl>
    <w:p/>
    <w:p>
      <w:r>
        <w:rPr>
          <w:b/>
        </w:rPr>
        <w:t xml:space="preserve">Important note on chlorine levels: </w:t>
      </w:r>
      <w:r>
        <w:t>65% of all readings in the dataset show chlorine above 2.0 mg/L. This is standard practice in Spanish pool maintenance — technicians intentionally overdose chlorine because it degrades rapidly in Mediterranean sun. Chlorine between 2.0 and 5.0 mg/L is common, safe, and not flagged as a problem by this system. Only levels below 0.5 mg/L (pathogen risk) or above 5.0 mg/L (chemical burn / mandatory closure) trigger safety alerts.</w:t>
      </w:r>
    </w:p>
    <w:p>
      <w:pPr>
        <w:pStyle w:val="Heading1"/>
      </w:pPr>
      <w:r>
        <w:t>3. How the System Works</w:t>
      </w:r>
    </w:p>
    <w:p>
      <w:r>
        <w:t>The system processes each pool's maintenance history — readings, chemical applications, and equipment settings — to produce three outputs for each pool:</w:t>
      </w:r>
    </w:p>
    <w:p>
      <w:pPr>
        <w:pStyle w:val="Heading3"/>
      </w:pPr>
      <w:r>
        <w:t>Visit Timing</w:t>
      </w:r>
    </w:p>
    <w:p>
      <w:r>
        <w:t>Rather than predicting the exact number of days until the next visit, the system first recognizes the strong seasonal pattern in your fleet: pools are visited every ~2 days in summer and every ~7 days in winter. It then predicts which pools need to deviate from this schedule. A pool with dropping chlorine or drifting pH will be flagged for an earlier visit; a stable pool can safely wait longer.</w:t>
      </w:r>
    </w:p>
    <w:p>
      <w:pPr>
        <w:pStyle w:val="Heading3"/>
      </w:pPr>
      <w:r>
        <w:t>Water Chemistry Forecasting</w:t>
      </w:r>
    </w:p>
    <w:p>
      <w:r>
        <w:t>Three separate models predict what the pH, chlorine, and turbidity will be at the next visit. These predictions are based on the pool's recent history (last 2–3 readings), the rate of change, current chemical applications, and pool characteristics (volume, type, equipment). The predictions drive the chemical prescription below.</w:t>
      </w:r>
    </w:p>
    <w:p>
      <w:pPr>
        <w:pStyle w:val="Heading3"/>
      </w:pPr>
      <w:r>
        <w:t>Chemical Prescription</w:t>
      </w:r>
    </w:p>
    <w:p>
      <w:r>
        <w:t>Based on the predicted water chemistry and the pool's volume, the system calculates the exact kilograms of sodium hypochlorite (chlorine), sodium bisulfate (pH reducer), or flocculant needed to bring the water back to ideal levels. This is done using standard mass-balance chemistry equations grounded in the regulatory thresholds.</w:t>
      </w:r>
    </w:p>
    <w:p>
      <w:pPr>
        <w:pStyle w:val="Heading3"/>
      </w:pPr>
      <w:r>
        <w:t>System Flow</w:t>
      </w:r>
    </w:p>
    <w:p>
      <w:r>
        <w:t>Data Flow: Technician readings → Feature engineering (trends, headroom, breach history) → ML models (XGBoost) → Visit recommendation + Chemical prescription</w:t>
      </w:r>
    </w:p>
    <w:p>
      <w:pPr>
        <w:pStyle w:val="Heading1"/>
      </w:pPr>
      <w:r>
        <w:t>4. Why This Approach</w:t>
      </w:r>
    </w:p>
    <w:p>
      <w:pPr>
        <w:pStyle w:val="Heading3"/>
      </w:pPr>
      <w:r>
        <w:t>Seasonal Deviation Framing</w:t>
      </w:r>
    </w:p>
    <w:p>
      <w:r>
        <w:t>Your technicians already follow a sensible seasonal schedule. The model doesn't try to replace it — instead, it identifies which pools should deviate from the standard schedule. This is more useful than a raw "visit in X days" prediction because the seasonal pattern already accounts for ~85% of the variation. The model focuses on the remaining signal: which specific pools are riskier than average right now.</w:t>
      </w:r>
    </w:p>
    <w:p>
      <w:pPr>
        <w:pStyle w:val="Heading3"/>
      </w:pPr>
      <w:r>
        <w:t>Safety-First Chlorine Definition</w:t>
      </w:r>
    </w:p>
    <w:p>
      <w:r>
        <w:t>The system defines a "chlorine breach" as readings below 0.5 mg/L or above 5.0 mg/L — not the narrower 0.5–2.0 mg/L "ideal" range. This was a deliberate choice because 65% of readings fall in the 2.0–5.0 range, which is standard practice in your fleet. Using the strict definition would flag two-thirds of all readings as problematic, overwhelming the system with false alarms. The broader safety definition correctly identifies only genuinely dangerous conditions (0.6% of readings).</w:t>
      </w:r>
    </w:p>
    <w:p>
      <w:pPr>
        <w:pStyle w:val="Heading3"/>
      </w:pPr>
      <w:r>
        <w:t>Temporal Train/Test Split</w:t>
      </w:r>
    </w:p>
    <w:p>
      <w:r>
        <w:t>The model is evaluated using a strict time-based split: it trains on data before April 2022 and is tested on data from April–December 2022. This ensures the model never "sees the future" during training, giving honest performance estimates. The metrics in this report reflect how the model performs on genuinely unseen future data.</w:t>
      </w:r>
    </w:p>
    <w:p>
      <w:pPr>
        <w:pStyle w:val="Heading3"/>
      </w:pPr>
      <w:r>
        <w:t>Safety-Weighted Training</w:t>
      </w:r>
    </w:p>
    <w:p>
      <w:r>
        <w:t>During training, data points where a safety breach occurred at the next visit are given 3× more weight. This biases the model toward recommending earlier visits when conditions look risky — a conservative, safety-first approach appropriate for a public health application.</w:t>
      </w:r>
    </w:p>
    <w:p>
      <w:pPr>
        <w:pStyle w:val="Heading3"/>
      </w:pPr>
      <w:r>
        <w:t>Static Data Backfilling</w:t>
      </w:r>
    </w:p>
    <w:p>
      <w:r>
        <w:t>Pool physical characteristics (volume, surface area, filter specs) were originally recorded on only ~1.4% of rows. The pipeline propagates each pool's known values across all its rows, and fills pools with no data at all using the fleet median. This enables volume-normalized chemical prescriptions for every pool, though prescriptions for the 28% of pools using imputed volumes should be treated as approximate.</w:t>
      </w:r>
    </w:p>
    <w:p>
      <w:pPr>
        <w:pStyle w:val="Heading1"/>
      </w:pPr>
      <w:r>
        <w:t>5. Model Comparison</w:t>
      </w:r>
    </w:p>
    <w:p>
      <w:r>
        <w:t>We evaluated six different machine learning approaches to determine the best model for each prediction target. All models were trained on the same data with the same features and tested on the same held-out period (April–December 2022).</w:t>
      </w:r>
    </w:p>
    <w:p>
      <w:pPr>
        <w:pStyle w:val="Heading2"/>
      </w:pPr>
      <w:r>
        <w:t>Visit Timing</w:t>
      </w:r>
    </w:p>
    <w:p>
      <w:r>
        <w:t>Predicts when each pool should next be visited. The mean absolute error (MAE) represents the average prediction error in days.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6B" w:val="clear"/>
          </w:tcPr>
          <w:p>
            <w:pPr>
              <w:spacing w:before="60" w:after="60"/>
              <w:jc w:val="left"/>
            </w:pPr>
            <w:r>
              <w:rPr>
                <w:rFonts w:ascii="Calibri" w:hAnsi="Calibri"/>
                <w:b/>
                <w:color w:val="FFFFFF"/>
                <w:sz w:val="20"/>
              </w:rPr>
              <w:t>Model</w:t>
            </w:r>
          </w:p>
        </w:tc>
        <w:tc>
          <w:tcPr>
            <w:tcW w:type="dxa" w:w="1728"/>
            <w:shd w:fill="2C3E6B" w:val="clear"/>
          </w:tcPr>
          <w:p>
            <w:pPr>
              <w:spacing w:before="60" w:after="60"/>
              <w:jc w:val="left"/>
            </w:pPr>
            <w:r>
              <w:rPr>
                <w:rFonts w:ascii="Calibri" w:hAnsi="Calibri"/>
                <w:b/>
                <w:color w:val="FFFFFF"/>
                <w:sz w:val="20"/>
              </w:rPr>
              <w:t>MAE (days)</w:t>
            </w:r>
          </w:p>
        </w:tc>
        <w:tc>
          <w:tcPr>
            <w:tcW w:type="dxa" w:w="1728"/>
            <w:shd w:fill="2C3E6B" w:val="clear"/>
          </w:tcPr>
          <w:p>
            <w:pPr>
              <w:spacing w:before="60" w:after="60"/>
              <w:jc w:val="left"/>
            </w:pPr>
            <w:r>
              <w:rPr>
                <w:rFonts w:ascii="Calibri" w:hAnsi="Calibri"/>
                <w:b/>
                <w:color w:val="FFFFFF"/>
                <w:sz w:val="20"/>
              </w:rPr>
              <w:t>RMSE</w:t>
            </w:r>
          </w:p>
        </w:tc>
        <w:tc>
          <w:tcPr>
            <w:tcW w:type="dxa" w:w="1728"/>
            <w:shd w:fill="2C3E6B" w:val="clear"/>
          </w:tcPr>
          <w:p>
            <w:pPr>
              <w:spacing w:before="60" w:after="60"/>
              <w:jc w:val="left"/>
            </w:pPr>
            <w:r>
              <w:rPr>
                <w:rFonts w:ascii="Calibri" w:hAnsi="Calibri"/>
                <w:b/>
                <w:color w:val="FFFFFF"/>
                <w:sz w:val="20"/>
              </w:rPr>
              <w:t>R²</w:t>
            </w:r>
          </w:p>
        </w:tc>
        <w:tc>
          <w:tcPr>
            <w:tcW w:type="dxa" w:w="1728"/>
            <w:shd w:fill="2C3E6B" w:val="clear"/>
          </w:tcPr>
          <w:p>
            <w:pPr>
              <w:spacing w:before="60" w:after="60"/>
              <w:jc w:val="left"/>
            </w:pPr>
            <w:r>
              <w:rPr>
                <w:rFonts w:ascii="Calibri" w:hAnsi="Calibri"/>
                <w:b/>
                <w:color w:val="FFFFFF"/>
                <w:sz w:val="20"/>
              </w:rPr>
            </w:r>
          </w:p>
        </w:tc>
      </w:tr>
      <w:tr>
        <w:tc>
          <w:tcPr>
            <w:tcW w:type="dxa" w:w="1728"/>
            <w:shd w:fill="D4EDDA" w:val="clear"/>
          </w:tcPr>
          <w:p>
            <w:pPr>
              <w:spacing w:before="60" w:after="60"/>
              <w:jc w:val="left"/>
            </w:pPr>
            <w:r>
              <w:rPr>
                <w:rFonts w:ascii="Calibri" w:hAnsi="Calibri"/>
                <w:sz w:val="20"/>
              </w:rPr>
              <w:t>LightGBM</w:t>
            </w:r>
          </w:p>
        </w:tc>
        <w:tc>
          <w:tcPr>
            <w:tcW w:type="dxa" w:w="1728"/>
            <w:shd w:fill="D4EDDA" w:val="clear"/>
          </w:tcPr>
          <w:p>
            <w:pPr>
              <w:spacing w:before="60" w:after="60"/>
              <w:jc w:val="left"/>
            </w:pPr>
            <w:r>
              <w:rPr>
                <w:rFonts w:ascii="Calibri" w:hAnsi="Calibri"/>
                <w:sz w:val="20"/>
              </w:rPr>
              <w:t>0.937</w:t>
            </w:r>
          </w:p>
        </w:tc>
        <w:tc>
          <w:tcPr>
            <w:tcW w:type="dxa" w:w="1728"/>
            <w:shd w:fill="D4EDDA" w:val="clear"/>
          </w:tcPr>
          <w:p>
            <w:pPr>
              <w:spacing w:before="60" w:after="60"/>
              <w:jc w:val="left"/>
            </w:pPr>
            <w:r>
              <w:rPr>
                <w:rFonts w:ascii="Calibri" w:hAnsi="Calibri"/>
                <w:sz w:val="20"/>
              </w:rPr>
              <w:t>1.659</w:t>
            </w:r>
          </w:p>
        </w:tc>
        <w:tc>
          <w:tcPr>
            <w:tcW w:type="dxa" w:w="1728"/>
            <w:shd w:fill="D4EDDA" w:val="clear"/>
          </w:tcPr>
          <w:p>
            <w:pPr>
              <w:spacing w:before="60" w:after="60"/>
              <w:jc w:val="left"/>
            </w:pPr>
            <w:r>
              <w:rPr>
                <w:rFonts w:ascii="Calibri" w:hAnsi="Calibri"/>
                <w:sz w:val="20"/>
              </w:rPr>
              <w:t>0.552</w:t>
            </w:r>
          </w:p>
        </w:tc>
        <w:tc>
          <w:tcPr>
            <w:tcW w:type="dxa" w:w="1728"/>
            <w:shd w:fill="D4EDDA" w:val="clear"/>
          </w:tcPr>
          <w:p>
            <w:pPr>
              <w:spacing w:before="60" w:after="60"/>
              <w:jc w:val="left"/>
            </w:pPr>
            <w:r>
              <w:rPr>
                <w:rFonts w:ascii="Calibri" w:hAnsi="Calibri"/>
                <w:sz w:val="20"/>
              </w:rPr>
              <w:t>✓ Best</w:t>
            </w:r>
          </w:p>
        </w:tc>
      </w:tr>
      <w:tr>
        <w:tc>
          <w:tcPr>
            <w:tcW w:type="dxa" w:w="1728"/>
            <w:shd w:fill="F5F7FA" w:val="clear"/>
          </w:tcPr>
          <w:p>
            <w:pPr>
              <w:spacing w:before="60" w:after="60"/>
              <w:jc w:val="left"/>
            </w:pPr>
            <w:r>
              <w:rPr>
                <w:rFonts w:ascii="Calibri" w:hAnsi="Calibri"/>
                <w:sz w:val="20"/>
              </w:rPr>
              <w:t>XGBoost</w:t>
            </w:r>
          </w:p>
        </w:tc>
        <w:tc>
          <w:tcPr>
            <w:tcW w:type="dxa" w:w="1728"/>
            <w:shd w:fill="F5F7FA" w:val="clear"/>
          </w:tcPr>
          <w:p>
            <w:pPr>
              <w:spacing w:before="60" w:after="60"/>
              <w:jc w:val="left"/>
            </w:pPr>
            <w:r>
              <w:rPr>
                <w:rFonts w:ascii="Calibri" w:hAnsi="Calibri"/>
                <w:sz w:val="20"/>
              </w:rPr>
              <w:t>0.936</w:t>
            </w:r>
          </w:p>
        </w:tc>
        <w:tc>
          <w:tcPr>
            <w:tcW w:type="dxa" w:w="1728"/>
            <w:shd w:fill="F5F7FA" w:val="clear"/>
          </w:tcPr>
          <w:p>
            <w:pPr>
              <w:spacing w:before="60" w:after="60"/>
              <w:jc w:val="left"/>
            </w:pPr>
            <w:r>
              <w:rPr>
                <w:rFonts w:ascii="Calibri" w:hAnsi="Calibri"/>
                <w:sz w:val="20"/>
              </w:rPr>
              <w:t>1.659</w:t>
            </w:r>
          </w:p>
        </w:tc>
        <w:tc>
          <w:tcPr>
            <w:tcW w:type="dxa" w:w="1728"/>
            <w:shd w:fill="F5F7FA" w:val="clear"/>
          </w:tcPr>
          <w:p>
            <w:pPr>
              <w:spacing w:before="60" w:after="60"/>
              <w:jc w:val="left"/>
            </w:pPr>
            <w:r>
              <w:rPr>
                <w:rFonts w:ascii="Calibri" w:hAnsi="Calibri"/>
                <w:sz w:val="20"/>
              </w:rPr>
              <w:t>0.552</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Gradient Boosting</w:t>
            </w:r>
          </w:p>
        </w:tc>
        <w:tc>
          <w:tcPr>
            <w:tcW w:type="dxa" w:w="1728"/>
          </w:tcPr>
          <w:p>
            <w:pPr>
              <w:spacing w:before="60" w:after="60"/>
              <w:jc w:val="left"/>
            </w:pPr>
            <w:r>
              <w:rPr>
                <w:rFonts w:ascii="Calibri" w:hAnsi="Calibri"/>
                <w:sz w:val="20"/>
              </w:rPr>
              <w:t>0.946</w:t>
            </w:r>
          </w:p>
        </w:tc>
        <w:tc>
          <w:tcPr>
            <w:tcW w:type="dxa" w:w="1728"/>
          </w:tcPr>
          <w:p>
            <w:pPr>
              <w:spacing w:before="60" w:after="60"/>
              <w:jc w:val="left"/>
            </w:pPr>
            <w:r>
              <w:rPr>
                <w:rFonts w:ascii="Calibri" w:hAnsi="Calibri"/>
                <w:sz w:val="20"/>
              </w:rPr>
              <w:t>1.665</w:t>
            </w:r>
          </w:p>
        </w:tc>
        <w:tc>
          <w:tcPr>
            <w:tcW w:type="dxa" w:w="1728"/>
          </w:tcPr>
          <w:p>
            <w:pPr>
              <w:spacing w:before="60" w:after="60"/>
              <w:jc w:val="left"/>
            </w:pPr>
            <w:r>
              <w:rPr>
                <w:rFonts w:ascii="Calibri" w:hAnsi="Calibri"/>
                <w:sz w:val="20"/>
              </w:rPr>
              <w:t>0.549</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Random Forest</w:t>
            </w:r>
          </w:p>
        </w:tc>
        <w:tc>
          <w:tcPr>
            <w:tcW w:type="dxa" w:w="1728"/>
            <w:shd w:fill="F5F7FA" w:val="clear"/>
          </w:tcPr>
          <w:p>
            <w:pPr>
              <w:spacing w:before="60" w:after="60"/>
              <w:jc w:val="left"/>
            </w:pPr>
            <w:r>
              <w:rPr>
                <w:rFonts w:ascii="Calibri" w:hAnsi="Calibri"/>
                <w:sz w:val="20"/>
              </w:rPr>
              <w:t>0.946</w:t>
            </w:r>
          </w:p>
        </w:tc>
        <w:tc>
          <w:tcPr>
            <w:tcW w:type="dxa" w:w="1728"/>
            <w:shd w:fill="F5F7FA" w:val="clear"/>
          </w:tcPr>
          <w:p>
            <w:pPr>
              <w:spacing w:before="60" w:after="60"/>
              <w:jc w:val="left"/>
            </w:pPr>
            <w:r>
              <w:rPr>
                <w:rFonts w:ascii="Calibri" w:hAnsi="Calibri"/>
                <w:sz w:val="20"/>
              </w:rPr>
              <w:t>1.674</w:t>
            </w:r>
          </w:p>
        </w:tc>
        <w:tc>
          <w:tcPr>
            <w:tcW w:type="dxa" w:w="1728"/>
            <w:shd w:fill="F5F7FA" w:val="clear"/>
          </w:tcPr>
          <w:p>
            <w:pPr>
              <w:spacing w:before="60" w:after="60"/>
              <w:jc w:val="left"/>
            </w:pPr>
            <w:r>
              <w:rPr>
                <w:rFonts w:ascii="Calibri" w:hAnsi="Calibri"/>
                <w:sz w:val="20"/>
              </w:rPr>
              <w:t>0.544</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CatBoost</w:t>
            </w:r>
          </w:p>
        </w:tc>
        <w:tc>
          <w:tcPr>
            <w:tcW w:type="dxa" w:w="1728"/>
          </w:tcPr>
          <w:p>
            <w:pPr>
              <w:spacing w:before="60" w:after="60"/>
              <w:jc w:val="left"/>
            </w:pPr>
            <w:r>
              <w:rPr>
                <w:rFonts w:ascii="Calibri" w:hAnsi="Calibri"/>
                <w:sz w:val="20"/>
              </w:rPr>
              <w:t>0.973</w:t>
            </w:r>
          </w:p>
        </w:tc>
        <w:tc>
          <w:tcPr>
            <w:tcW w:type="dxa" w:w="1728"/>
          </w:tcPr>
          <w:p>
            <w:pPr>
              <w:spacing w:before="60" w:after="60"/>
              <w:jc w:val="left"/>
            </w:pPr>
            <w:r>
              <w:rPr>
                <w:rFonts w:ascii="Calibri" w:hAnsi="Calibri"/>
                <w:sz w:val="20"/>
              </w:rPr>
              <w:t>1.688</w:t>
            </w:r>
          </w:p>
        </w:tc>
        <w:tc>
          <w:tcPr>
            <w:tcW w:type="dxa" w:w="1728"/>
          </w:tcPr>
          <w:p>
            <w:pPr>
              <w:spacing w:before="60" w:after="60"/>
              <w:jc w:val="left"/>
            </w:pPr>
            <w:r>
              <w:rPr>
                <w:rFonts w:ascii="Calibri" w:hAnsi="Calibri"/>
                <w:sz w:val="20"/>
              </w:rPr>
              <w:t>0.536</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Extra Trees</w:t>
            </w:r>
          </w:p>
        </w:tc>
        <w:tc>
          <w:tcPr>
            <w:tcW w:type="dxa" w:w="1728"/>
            <w:shd w:fill="F5F7FA" w:val="clear"/>
          </w:tcPr>
          <w:p>
            <w:pPr>
              <w:spacing w:before="60" w:after="60"/>
              <w:jc w:val="left"/>
            </w:pPr>
            <w:r>
              <w:rPr>
                <w:rFonts w:ascii="Calibri" w:hAnsi="Calibri"/>
                <w:sz w:val="20"/>
              </w:rPr>
              <w:t>0.953</w:t>
            </w:r>
          </w:p>
        </w:tc>
        <w:tc>
          <w:tcPr>
            <w:tcW w:type="dxa" w:w="1728"/>
            <w:shd w:fill="F5F7FA" w:val="clear"/>
          </w:tcPr>
          <w:p>
            <w:pPr>
              <w:spacing w:before="60" w:after="60"/>
              <w:jc w:val="left"/>
            </w:pPr>
            <w:r>
              <w:rPr>
                <w:rFonts w:ascii="Calibri" w:hAnsi="Calibri"/>
                <w:sz w:val="20"/>
              </w:rPr>
              <w:t>1.692</w:t>
            </w:r>
          </w:p>
        </w:tc>
        <w:tc>
          <w:tcPr>
            <w:tcW w:type="dxa" w:w="1728"/>
            <w:shd w:fill="F5F7FA" w:val="clear"/>
          </w:tcPr>
          <w:p>
            <w:pPr>
              <w:spacing w:before="60" w:after="60"/>
              <w:jc w:val="left"/>
            </w:pPr>
            <w:r>
              <w:rPr>
                <w:rFonts w:ascii="Calibri" w:hAnsi="Calibri"/>
                <w:sz w:val="20"/>
              </w:rPr>
              <w:t>0.534</w:t>
            </w:r>
          </w:p>
        </w:tc>
        <w:tc>
          <w:tcPr>
            <w:tcW w:type="dxa" w:w="1728"/>
            <w:shd w:fill="F5F7FA" w:val="clear"/>
          </w:tcPr>
          <w:p>
            <w:pPr>
              <w:spacing w:before="60" w:after="60"/>
              <w:jc w:val="left"/>
            </w:pPr>
            <w:r>
              <w:rPr>
                <w:rFonts w:ascii="Calibri" w:hAnsi="Calibri"/>
                <w:sz w:val="20"/>
              </w:rPr>
            </w:r>
          </w:p>
        </w:tc>
      </w:tr>
    </w:tbl>
    <w:p>
      <w:r>
        <w:t>The visit timing model is accurate to within approximately 1 day on average. LightGBM and XGBoost perform virtually identically (difference of 0.001 days). The R² of 0.55 means the model explains about 55% of the variance in visit scheduling — the remaining variance comes from operational factors (crew availability, route optimization) that the model correctly does not try to predict.</w:t>
      </w:r>
    </w:p>
    <w:p>
      <w:pPr>
        <w:pStyle w:val="Heading2"/>
      </w:pPr>
      <w:r>
        <w:t>pH Prediction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6B" w:val="clear"/>
          </w:tcPr>
          <w:p>
            <w:pPr>
              <w:spacing w:before="60" w:after="60"/>
              <w:jc w:val="left"/>
            </w:pPr>
            <w:r>
              <w:rPr>
                <w:rFonts w:ascii="Calibri" w:hAnsi="Calibri"/>
                <w:b/>
                <w:color w:val="FFFFFF"/>
                <w:sz w:val="20"/>
              </w:rPr>
              <w:t>Model</w:t>
            </w:r>
          </w:p>
        </w:tc>
        <w:tc>
          <w:tcPr>
            <w:tcW w:type="dxa" w:w="1728"/>
            <w:shd w:fill="2C3E6B" w:val="clear"/>
          </w:tcPr>
          <w:p>
            <w:pPr>
              <w:spacing w:before="60" w:after="60"/>
              <w:jc w:val="left"/>
            </w:pPr>
            <w:r>
              <w:rPr>
                <w:rFonts w:ascii="Calibri" w:hAnsi="Calibri"/>
                <w:b/>
                <w:color w:val="FFFFFF"/>
                <w:sz w:val="20"/>
              </w:rPr>
              <w:t>MAE (pH)</w:t>
            </w:r>
          </w:p>
        </w:tc>
        <w:tc>
          <w:tcPr>
            <w:tcW w:type="dxa" w:w="1728"/>
            <w:shd w:fill="2C3E6B" w:val="clear"/>
          </w:tcPr>
          <w:p>
            <w:pPr>
              <w:spacing w:before="60" w:after="60"/>
              <w:jc w:val="left"/>
            </w:pPr>
            <w:r>
              <w:rPr>
                <w:rFonts w:ascii="Calibri" w:hAnsi="Calibri"/>
                <w:b/>
                <w:color w:val="FFFFFF"/>
                <w:sz w:val="20"/>
              </w:rPr>
              <w:t>RMSE</w:t>
            </w:r>
          </w:p>
        </w:tc>
        <w:tc>
          <w:tcPr>
            <w:tcW w:type="dxa" w:w="1728"/>
            <w:shd w:fill="2C3E6B" w:val="clear"/>
          </w:tcPr>
          <w:p>
            <w:pPr>
              <w:spacing w:before="60" w:after="60"/>
              <w:jc w:val="left"/>
            </w:pPr>
            <w:r>
              <w:rPr>
                <w:rFonts w:ascii="Calibri" w:hAnsi="Calibri"/>
                <w:b/>
                <w:color w:val="FFFFFF"/>
                <w:sz w:val="20"/>
              </w:rPr>
              <w:t>R²</w:t>
            </w:r>
          </w:p>
        </w:tc>
        <w:tc>
          <w:tcPr>
            <w:tcW w:type="dxa" w:w="1728"/>
            <w:shd w:fill="2C3E6B" w:val="clear"/>
          </w:tcPr>
          <w:p>
            <w:pPr>
              <w:spacing w:before="60" w:after="60"/>
              <w:jc w:val="left"/>
            </w:pPr>
            <w:r>
              <w:rPr>
                <w:rFonts w:ascii="Calibri" w:hAnsi="Calibri"/>
                <w:b/>
                <w:color w:val="FFFFFF"/>
                <w:sz w:val="20"/>
              </w:rPr>
            </w:r>
          </w:p>
        </w:tc>
      </w:tr>
      <w:tr>
        <w:tc>
          <w:tcPr>
            <w:tcW w:type="dxa" w:w="1728"/>
            <w:shd w:fill="D4EDDA" w:val="clear"/>
          </w:tcPr>
          <w:p>
            <w:pPr>
              <w:spacing w:before="60" w:after="60"/>
              <w:jc w:val="left"/>
            </w:pPr>
            <w:r>
              <w:rPr>
                <w:rFonts w:ascii="Calibri" w:hAnsi="Calibri"/>
                <w:sz w:val="20"/>
              </w:rPr>
              <w:t>Extra Trees</w:t>
            </w:r>
          </w:p>
        </w:tc>
        <w:tc>
          <w:tcPr>
            <w:tcW w:type="dxa" w:w="1728"/>
            <w:shd w:fill="D4EDDA" w:val="clear"/>
          </w:tcPr>
          <w:p>
            <w:pPr>
              <w:spacing w:before="60" w:after="60"/>
              <w:jc w:val="left"/>
            </w:pPr>
            <w:r>
              <w:rPr>
                <w:rFonts w:ascii="Calibri" w:hAnsi="Calibri"/>
                <w:sz w:val="20"/>
              </w:rPr>
              <w:t>0.082</w:t>
            </w:r>
          </w:p>
        </w:tc>
        <w:tc>
          <w:tcPr>
            <w:tcW w:type="dxa" w:w="1728"/>
            <w:shd w:fill="D4EDDA" w:val="clear"/>
          </w:tcPr>
          <w:p>
            <w:pPr>
              <w:spacing w:before="60" w:after="60"/>
              <w:jc w:val="left"/>
            </w:pPr>
            <w:r>
              <w:rPr>
                <w:rFonts w:ascii="Calibri" w:hAnsi="Calibri"/>
                <w:sz w:val="20"/>
              </w:rPr>
              <w:t>0.117</w:t>
            </w:r>
          </w:p>
        </w:tc>
        <w:tc>
          <w:tcPr>
            <w:tcW w:type="dxa" w:w="1728"/>
            <w:shd w:fill="D4EDDA" w:val="clear"/>
          </w:tcPr>
          <w:p>
            <w:pPr>
              <w:spacing w:before="60" w:after="60"/>
              <w:jc w:val="left"/>
            </w:pPr>
            <w:r>
              <w:rPr>
                <w:rFonts w:ascii="Calibri" w:hAnsi="Calibri"/>
                <w:sz w:val="20"/>
              </w:rPr>
              <w:t>0.530</w:t>
            </w:r>
          </w:p>
        </w:tc>
        <w:tc>
          <w:tcPr>
            <w:tcW w:type="dxa" w:w="1728"/>
            <w:shd w:fill="D4EDDA" w:val="clear"/>
          </w:tcPr>
          <w:p>
            <w:pPr>
              <w:spacing w:before="60" w:after="60"/>
              <w:jc w:val="left"/>
            </w:pPr>
            <w:r>
              <w:rPr>
                <w:rFonts w:ascii="Calibri" w:hAnsi="Calibri"/>
                <w:sz w:val="20"/>
              </w:rPr>
              <w:t>✓ Best</w:t>
            </w:r>
          </w:p>
        </w:tc>
      </w:tr>
      <w:tr>
        <w:tc>
          <w:tcPr>
            <w:tcW w:type="dxa" w:w="1728"/>
            <w:shd w:fill="F5F7FA" w:val="clear"/>
          </w:tcPr>
          <w:p>
            <w:pPr>
              <w:spacing w:before="60" w:after="60"/>
              <w:jc w:val="left"/>
            </w:pPr>
            <w:r>
              <w:rPr>
                <w:rFonts w:ascii="Calibri" w:hAnsi="Calibri"/>
                <w:sz w:val="20"/>
              </w:rPr>
              <w:t>LightGBM</w:t>
            </w:r>
          </w:p>
        </w:tc>
        <w:tc>
          <w:tcPr>
            <w:tcW w:type="dxa" w:w="1728"/>
            <w:shd w:fill="F5F7FA" w:val="clear"/>
          </w:tcPr>
          <w:p>
            <w:pPr>
              <w:spacing w:before="60" w:after="60"/>
              <w:jc w:val="left"/>
            </w:pPr>
            <w:r>
              <w:rPr>
                <w:rFonts w:ascii="Calibri" w:hAnsi="Calibri"/>
                <w:sz w:val="20"/>
              </w:rPr>
              <w:t>0.082</w:t>
            </w:r>
          </w:p>
        </w:tc>
        <w:tc>
          <w:tcPr>
            <w:tcW w:type="dxa" w:w="1728"/>
            <w:shd w:fill="F5F7FA" w:val="clear"/>
          </w:tcPr>
          <w:p>
            <w:pPr>
              <w:spacing w:before="60" w:after="60"/>
              <w:jc w:val="left"/>
            </w:pPr>
            <w:r>
              <w:rPr>
                <w:rFonts w:ascii="Calibri" w:hAnsi="Calibri"/>
                <w:sz w:val="20"/>
              </w:rPr>
              <w:t>0.118</w:t>
            </w:r>
          </w:p>
        </w:tc>
        <w:tc>
          <w:tcPr>
            <w:tcW w:type="dxa" w:w="1728"/>
            <w:shd w:fill="F5F7FA" w:val="clear"/>
          </w:tcPr>
          <w:p>
            <w:pPr>
              <w:spacing w:before="60" w:after="60"/>
              <w:jc w:val="left"/>
            </w:pPr>
            <w:r>
              <w:rPr>
                <w:rFonts w:ascii="Calibri" w:hAnsi="Calibri"/>
                <w:sz w:val="20"/>
              </w:rPr>
              <w:t>0.528</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Gradient Boosting</w:t>
            </w:r>
          </w:p>
        </w:tc>
        <w:tc>
          <w:tcPr>
            <w:tcW w:type="dxa" w:w="1728"/>
          </w:tcPr>
          <w:p>
            <w:pPr>
              <w:spacing w:before="60" w:after="60"/>
              <w:jc w:val="left"/>
            </w:pPr>
            <w:r>
              <w:rPr>
                <w:rFonts w:ascii="Calibri" w:hAnsi="Calibri"/>
                <w:sz w:val="20"/>
              </w:rPr>
              <w:t>0.082</w:t>
            </w:r>
          </w:p>
        </w:tc>
        <w:tc>
          <w:tcPr>
            <w:tcW w:type="dxa" w:w="1728"/>
          </w:tcPr>
          <w:p>
            <w:pPr>
              <w:spacing w:before="60" w:after="60"/>
              <w:jc w:val="left"/>
            </w:pPr>
            <w:r>
              <w:rPr>
                <w:rFonts w:ascii="Calibri" w:hAnsi="Calibri"/>
                <w:sz w:val="20"/>
              </w:rPr>
              <w:t>0.118</w:t>
            </w:r>
          </w:p>
        </w:tc>
        <w:tc>
          <w:tcPr>
            <w:tcW w:type="dxa" w:w="1728"/>
          </w:tcPr>
          <w:p>
            <w:pPr>
              <w:spacing w:before="60" w:after="60"/>
              <w:jc w:val="left"/>
            </w:pPr>
            <w:r>
              <w:rPr>
                <w:rFonts w:ascii="Calibri" w:hAnsi="Calibri"/>
                <w:sz w:val="20"/>
              </w:rPr>
              <w:t>0.527</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XGBoost</w:t>
            </w:r>
          </w:p>
        </w:tc>
        <w:tc>
          <w:tcPr>
            <w:tcW w:type="dxa" w:w="1728"/>
            <w:shd w:fill="F5F7FA" w:val="clear"/>
          </w:tcPr>
          <w:p>
            <w:pPr>
              <w:spacing w:before="60" w:after="60"/>
              <w:jc w:val="left"/>
            </w:pPr>
            <w:r>
              <w:rPr>
                <w:rFonts w:ascii="Calibri" w:hAnsi="Calibri"/>
                <w:sz w:val="20"/>
              </w:rPr>
              <w:t>0.082</w:t>
            </w:r>
          </w:p>
        </w:tc>
        <w:tc>
          <w:tcPr>
            <w:tcW w:type="dxa" w:w="1728"/>
            <w:shd w:fill="F5F7FA" w:val="clear"/>
          </w:tcPr>
          <w:p>
            <w:pPr>
              <w:spacing w:before="60" w:after="60"/>
              <w:jc w:val="left"/>
            </w:pPr>
            <w:r>
              <w:rPr>
                <w:rFonts w:ascii="Calibri" w:hAnsi="Calibri"/>
                <w:sz w:val="20"/>
              </w:rPr>
              <w:t>0.118</w:t>
            </w:r>
          </w:p>
        </w:tc>
        <w:tc>
          <w:tcPr>
            <w:tcW w:type="dxa" w:w="1728"/>
            <w:shd w:fill="F5F7FA" w:val="clear"/>
          </w:tcPr>
          <w:p>
            <w:pPr>
              <w:spacing w:before="60" w:after="60"/>
              <w:jc w:val="left"/>
            </w:pPr>
            <w:r>
              <w:rPr>
                <w:rFonts w:ascii="Calibri" w:hAnsi="Calibri"/>
                <w:sz w:val="20"/>
              </w:rPr>
              <w:t>0.526</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Random Forest</w:t>
            </w:r>
          </w:p>
        </w:tc>
        <w:tc>
          <w:tcPr>
            <w:tcW w:type="dxa" w:w="1728"/>
          </w:tcPr>
          <w:p>
            <w:pPr>
              <w:spacing w:before="60" w:after="60"/>
              <w:jc w:val="left"/>
            </w:pPr>
            <w:r>
              <w:rPr>
                <w:rFonts w:ascii="Calibri" w:hAnsi="Calibri"/>
                <w:sz w:val="20"/>
              </w:rPr>
              <w:t>0.082</w:t>
            </w:r>
          </w:p>
        </w:tc>
        <w:tc>
          <w:tcPr>
            <w:tcW w:type="dxa" w:w="1728"/>
          </w:tcPr>
          <w:p>
            <w:pPr>
              <w:spacing w:before="60" w:after="60"/>
              <w:jc w:val="left"/>
            </w:pPr>
            <w:r>
              <w:rPr>
                <w:rFonts w:ascii="Calibri" w:hAnsi="Calibri"/>
                <w:sz w:val="20"/>
              </w:rPr>
              <w:t>0.118</w:t>
            </w:r>
          </w:p>
        </w:tc>
        <w:tc>
          <w:tcPr>
            <w:tcW w:type="dxa" w:w="1728"/>
          </w:tcPr>
          <w:p>
            <w:pPr>
              <w:spacing w:before="60" w:after="60"/>
              <w:jc w:val="left"/>
            </w:pPr>
            <w:r>
              <w:rPr>
                <w:rFonts w:ascii="Calibri" w:hAnsi="Calibri"/>
                <w:sz w:val="20"/>
              </w:rPr>
              <w:t>0.524</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CatBoost</w:t>
            </w:r>
          </w:p>
        </w:tc>
        <w:tc>
          <w:tcPr>
            <w:tcW w:type="dxa" w:w="1728"/>
            <w:shd w:fill="F5F7FA" w:val="clear"/>
          </w:tcPr>
          <w:p>
            <w:pPr>
              <w:spacing w:before="60" w:after="60"/>
              <w:jc w:val="left"/>
            </w:pPr>
            <w:r>
              <w:rPr>
                <w:rFonts w:ascii="Calibri" w:hAnsi="Calibri"/>
                <w:sz w:val="20"/>
              </w:rPr>
              <w:t>0.084</w:t>
            </w:r>
          </w:p>
        </w:tc>
        <w:tc>
          <w:tcPr>
            <w:tcW w:type="dxa" w:w="1728"/>
            <w:shd w:fill="F5F7FA" w:val="clear"/>
          </w:tcPr>
          <w:p>
            <w:pPr>
              <w:spacing w:before="60" w:after="60"/>
              <w:jc w:val="left"/>
            </w:pPr>
            <w:r>
              <w:rPr>
                <w:rFonts w:ascii="Calibri" w:hAnsi="Calibri"/>
                <w:sz w:val="20"/>
              </w:rPr>
              <w:t>0.119</w:t>
            </w:r>
          </w:p>
        </w:tc>
        <w:tc>
          <w:tcPr>
            <w:tcW w:type="dxa" w:w="1728"/>
            <w:shd w:fill="F5F7FA" w:val="clear"/>
          </w:tcPr>
          <w:p>
            <w:pPr>
              <w:spacing w:before="60" w:after="60"/>
              <w:jc w:val="left"/>
            </w:pPr>
            <w:r>
              <w:rPr>
                <w:rFonts w:ascii="Calibri" w:hAnsi="Calibri"/>
                <w:sz w:val="20"/>
              </w:rPr>
              <w:t>0.522</w:t>
            </w:r>
          </w:p>
        </w:tc>
        <w:tc>
          <w:tcPr>
            <w:tcW w:type="dxa" w:w="1728"/>
            <w:shd w:fill="F5F7FA" w:val="clear"/>
          </w:tcPr>
          <w:p>
            <w:pPr>
              <w:spacing w:before="60" w:after="60"/>
              <w:jc w:val="left"/>
            </w:pPr>
            <w:r>
              <w:rPr>
                <w:rFonts w:ascii="Calibri" w:hAnsi="Calibri"/>
                <w:sz w:val="20"/>
              </w:rPr>
            </w:r>
          </w:p>
        </w:tc>
      </w:tr>
    </w:tbl>
    <w:p>
      <w:r>
        <w:t>The pH model is accurate to within 0.082 pH units — this is within the measurement precision of standard handheld pH meters (±0.1 pH). In practical terms, the model's forecast is as accurate as the instrument itself in most scenarios.</w:t>
      </w:r>
    </w:p>
    <w:p>
      <w:pPr>
        <w:pStyle w:val="Heading2"/>
      </w:pPr>
      <w:r>
        <w:t>Chlorine Prediction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6B" w:val="clear"/>
          </w:tcPr>
          <w:p>
            <w:pPr>
              <w:spacing w:before="60" w:after="60"/>
              <w:jc w:val="left"/>
            </w:pPr>
            <w:r>
              <w:rPr>
                <w:rFonts w:ascii="Calibri" w:hAnsi="Calibri"/>
                <w:b/>
                <w:color w:val="FFFFFF"/>
                <w:sz w:val="20"/>
              </w:rPr>
              <w:t>Model</w:t>
            </w:r>
          </w:p>
        </w:tc>
        <w:tc>
          <w:tcPr>
            <w:tcW w:type="dxa" w:w="1728"/>
            <w:shd w:fill="2C3E6B" w:val="clear"/>
          </w:tcPr>
          <w:p>
            <w:pPr>
              <w:spacing w:before="60" w:after="60"/>
              <w:jc w:val="left"/>
            </w:pPr>
            <w:r>
              <w:rPr>
                <w:rFonts w:ascii="Calibri" w:hAnsi="Calibri"/>
                <w:b/>
                <w:color w:val="FFFFFF"/>
                <w:sz w:val="20"/>
              </w:rPr>
              <w:t>MAE (mg/L)</w:t>
            </w:r>
          </w:p>
        </w:tc>
        <w:tc>
          <w:tcPr>
            <w:tcW w:type="dxa" w:w="1728"/>
            <w:shd w:fill="2C3E6B" w:val="clear"/>
          </w:tcPr>
          <w:p>
            <w:pPr>
              <w:spacing w:before="60" w:after="60"/>
              <w:jc w:val="left"/>
            </w:pPr>
            <w:r>
              <w:rPr>
                <w:rFonts w:ascii="Calibri" w:hAnsi="Calibri"/>
                <w:b/>
                <w:color w:val="FFFFFF"/>
                <w:sz w:val="20"/>
              </w:rPr>
              <w:t>RMSE</w:t>
            </w:r>
          </w:p>
        </w:tc>
        <w:tc>
          <w:tcPr>
            <w:tcW w:type="dxa" w:w="1728"/>
            <w:shd w:fill="2C3E6B" w:val="clear"/>
          </w:tcPr>
          <w:p>
            <w:pPr>
              <w:spacing w:before="60" w:after="60"/>
              <w:jc w:val="left"/>
            </w:pPr>
            <w:r>
              <w:rPr>
                <w:rFonts w:ascii="Calibri" w:hAnsi="Calibri"/>
                <w:b/>
                <w:color w:val="FFFFFF"/>
                <w:sz w:val="20"/>
              </w:rPr>
              <w:t>R²</w:t>
            </w:r>
          </w:p>
        </w:tc>
        <w:tc>
          <w:tcPr>
            <w:tcW w:type="dxa" w:w="1728"/>
            <w:shd w:fill="2C3E6B" w:val="clear"/>
          </w:tcPr>
          <w:p>
            <w:pPr>
              <w:spacing w:before="60" w:after="60"/>
              <w:jc w:val="left"/>
            </w:pPr>
            <w:r>
              <w:rPr>
                <w:rFonts w:ascii="Calibri" w:hAnsi="Calibri"/>
                <w:b/>
                <w:color w:val="FFFFFF"/>
                <w:sz w:val="20"/>
              </w:rPr>
            </w:r>
          </w:p>
        </w:tc>
      </w:tr>
      <w:tr>
        <w:tc>
          <w:tcPr>
            <w:tcW w:type="dxa" w:w="1728"/>
            <w:shd w:fill="D4EDDA" w:val="clear"/>
          </w:tcPr>
          <w:p>
            <w:pPr>
              <w:spacing w:before="60" w:after="60"/>
              <w:jc w:val="left"/>
            </w:pPr>
            <w:r>
              <w:rPr>
                <w:rFonts w:ascii="Calibri" w:hAnsi="Calibri"/>
                <w:sz w:val="20"/>
              </w:rPr>
              <w:t>LightGBM</w:t>
            </w:r>
          </w:p>
        </w:tc>
        <w:tc>
          <w:tcPr>
            <w:tcW w:type="dxa" w:w="1728"/>
            <w:shd w:fill="D4EDDA" w:val="clear"/>
          </w:tcPr>
          <w:p>
            <w:pPr>
              <w:spacing w:before="60" w:after="60"/>
              <w:jc w:val="left"/>
            </w:pPr>
            <w:r>
              <w:rPr>
                <w:rFonts w:ascii="Calibri" w:hAnsi="Calibri"/>
                <w:sz w:val="20"/>
              </w:rPr>
              <w:t>0.529</w:t>
            </w:r>
          </w:p>
        </w:tc>
        <w:tc>
          <w:tcPr>
            <w:tcW w:type="dxa" w:w="1728"/>
            <w:shd w:fill="D4EDDA" w:val="clear"/>
          </w:tcPr>
          <w:p>
            <w:pPr>
              <w:spacing w:before="60" w:after="60"/>
              <w:jc w:val="left"/>
            </w:pPr>
            <w:r>
              <w:rPr>
                <w:rFonts w:ascii="Calibri" w:hAnsi="Calibri"/>
                <w:sz w:val="20"/>
              </w:rPr>
              <w:t>0.732</w:t>
            </w:r>
          </w:p>
        </w:tc>
        <w:tc>
          <w:tcPr>
            <w:tcW w:type="dxa" w:w="1728"/>
            <w:shd w:fill="D4EDDA" w:val="clear"/>
          </w:tcPr>
          <w:p>
            <w:pPr>
              <w:spacing w:before="60" w:after="60"/>
              <w:jc w:val="left"/>
            </w:pPr>
            <w:r>
              <w:rPr>
                <w:rFonts w:ascii="Calibri" w:hAnsi="Calibri"/>
                <w:sz w:val="20"/>
              </w:rPr>
              <w:t>0.277</w:t>
            </w:r>
          </w:p>
        </w:tc>
        <w:tc>
          <w:tcPr>
            <w:tcW w:type="dxa" w:w="1728"/>
            <w:shd w:fill="D4EDDA" w:val="clear"/>
          </w:tcPr>
          <w:p>
            <w:pPr>
              <w:spacing w:before="60" w:after="60"/>
              <w:jc w:val="left"/>
            </w:pPr>
            <w:r>
              <w:rPr>
                <w:rFonts w:ascii="Calibri" w:hAnsi="Calibri"/>
                <w:sz w:val="20"/>
              </w:rPr>
              <w:t>✓ Best</w:t>
            </w:r>
          </w:p>
        </w:tc>
      </w:tr>
      <w:tr>
        <w:tc>
          <w:tcPr>
            <w:tcW w:type="dxa" w:w="1728"/>
            <w:shd w:fill="F5F7FA" w:val="clear"/>
          </w:tcPr>
          <w:p>
            <w:pPr>
              <w:spacing w:before="60" w:after="60"/>
              <w:jc w:val="left"/>
            </w:pPr>
            <w:r>
              <w:rPr>
                <w:rFonts w:ascii="Calibri" w:hAnsi="Calibri"/>
                <w:sz w:val="20"/>
              </w:rPr>
              <w:t>XGBoost</w:t>
            </w:r>
          </w:p>
        </w:tc>
        <w:tc>
          <w:tcPr>
            <w:tcW w:type="dxa" w:w="1728"/>
            <w:shd w:fill="F5F7FA" w:val="clear"/>
          </w:tcPr>
          <w:p>
            <w:pPr>
              <w:spacing w:before="60" w:after="60"/>
              <w:jc w:val="left"/>
            </w:pPr>
            <w:r>
              <w:rPr>
                <w:rFonts w:ascii="Calibri" w:hAnsi="Calibri"/>
                <w:sz w:val="20"/>
              </w:rPr>
              <w:t>0.529</w:t>
            </w:r>
          </w:p>
        </w:tc>
        <w:tc>
          <w:tcPr>
            <w:tcW w:type="dxa" w:w="1728"/>
            <w:shd w:fill="F5F7FA" w:val="clear"/>
          </w:tcPr>
          <w:p>
            <w:pPr>
              <w:spacing w:before="60" w:after="60"/>
              <w:jc w:val="left"/>
            </w:pPr>
            <w:r>
              <w:rPr>
                <w:rFonts w:ascii="Calibri" w:hAnsi="Calibri"/>
                <w:sz w:val="20"/>
              </w:rPr>
              <w:t>0.733</w:t>
            </w:r>
          </w:p>
        </w:tc>
        <w:tc>
          <w:tcPr>
            <w:tcW w:type="dxa" w:w="1728"/>
            <w:shd w:fill="F5F7FA" w:val="clear"/>
          </w:tcPr>
          <w:p>
            <w:pPr>
              <w:spacing w:before="60" w:after="60"/>
              <w:jc w:val="left"/>
            </w:pPr>
            <w:r>
              <w:rPr>
                <w:rFonts w:ascii="Calibri" w:hAnsi="Calibri"/>
                <w:sz w:val="20"/>
              </w:rPr>
              <w:t>0.276</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Gradient Boosting</w:t>
            </w:r>
          </w:p>
        </w:tc>
        <w:tc>
          <w:tcPr>
            <w:tcW w:type="dxa" w:w="1728"/>
          </w:tcPr>
          <w:p>
            <w:pPr>
              <w:spacing w:before="60" w:after="60"/>
              <w:jc w:val="left"/>
            </w:pPr>
            <w:r>
              <w:rPr>
                <w:rFonts w:ascii="Calibri" w:hAnsi="Calibri"/>
                <w:sz w:val="20"/>
              </w:rPr>
              <w:t>0.529</w:t>
            </w:r>
          </w:p>
        </w:tc>
        <w:tc>
          <w:tcPr>
            <w:tcW w:type="dxa" w:w="1728"/>
          </w:tcPr>
          <w:p>
            <w:pPr>
              <w:spacing w:before="60" w:after="60"/>
              <w:jc w:val="left"/>
            </w:pPr>
            <w:r>
              <w:rPr>
                <w:rFonts w:ascii="Calibri" w:hAnsi="Calibri"/>
                <w:sz w:val="20"/>
              </w:rPr>
              <w:t>0.733</w:t>
            </w:r>
          </w:p>
        </w:tc>
        <w:tc>
          <w:tcPr>
            <w:tcW w:type="dxa" w:w="1728"/>
          </w:tcPr>
          <w:p>
            <w:pPr>
              <w:spacing w:before="60" w:after="60"/>
              <w:jc w:val="left"/>
            </w:pPr>
            <w:r>
              <w:rPr>
                <w:rFonts w:ascii="Calibri" w:hAnsi="Calibri"/>
                <w:sz w:val="20"/>
              </w:rPr>
              <w:t>0.276</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Extra Trees</w:t>
            </w:r>
          </w:p>
        </w:tc>
        <w:tc>
          <w:tcPr>
            <w:tcW w:type="dxa" w:w="1728"/>
            <w:shd w:fill="F5F7FA" w:val="clear"/>
          </w:tcPr>
          <w:p>
            <w:pPr>
              <w:spacing w:before="60" w:after="60"/>
              <w:jc w:val="left"/>
            </w:pPr>
            <w:r>
              <w:rPr>
                <w:rFonts w:ascii="Calibri" w:hAnsi="Calibri"/>
                <w:sz w:val="20"/>
              </w:rPr>
              <w:t>0.529</w:t>
            </w:r>
          </w:p>
        </w:tc>
        <w:tc>
          <w:tcPr>
            <w:tcW w:type="dxa" w:w="1728"/>
            <w:shd w:fill="F5F7FA" w:val="clear"/>
          </w:tcPr>
          <w:p>
            <w:pPr>
              <w:spacing w:before="60" w:after="60"/>
              <w:jc w:val="left"/>
            </w:pPr>
            <w:r>
              <w:rPr>
                <w:rFonts w:ascii="Calibri" w:hAnsi="Calibri"/>
                <w:sz w:val="20"/>
              </w:rPr>
              <w:t>0.735</w:t>
            </w:r>
          </w:p>
        </w:tc>
        <w:tc>
          <w:tcPr>
            <w:tcW w:type="dxa" w:w="1728"/>
            <w:shd w:fill="F5F7FA" w:val="clear"/>
          </w:tcPr>
          <w:p>
            <w:pPr>
              <w:spacing w:before="60" w:after="60"/>
              <w:jc w:val="left"/>
            </w:pPr>
            <w:r>
              <w:rPr>
                <w:rFonts w:ascii="Calibri" w:hAnsi="Calibri"/>
                <w:sz w:val="20"/>
              </w:rPr>
              <w:t>0.273</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Random Forest</w:t>
            </w:r>
          </w:p>
        </w:tc>
        <w:tc>
          <w:tcPr>
            <w:tcW w:type="dxa" w:w="1728"/>
          </w:tcPr>
          <w:p>
            <w:pPr>
              <w:spacing w:before="60" w:after="60"/>
              <w:jc w:val="left"/>
            </w:pPr>
            <w:r>
              <w:rPr>
                <w:rFonts w:ascii="Calibri" w:hAnsi="Calibri"/>
                <w:sz w:val="20"/>
              </w:rPr>
              <w:t>0.530</w:t>
            </w:r>
          </w:p>
        </w:tc>
        <w:tc>
          <w:tcPr>
            <w:tcW w:type="dxa" w:w="1728"/>
          </w:tcPr>
          <w:p>
            <w:pPr>
              <w:spacing w:before="60" w:after="60"/>
              <w:jc w:val="left"/>
            </w:pPr>
            <w:r>
              <w:rPr>
                <w:rFonts w:ascii="Calibri" w:hAnsi="Calibri"/>
                <w:sz w:val="20"/>
              </w:rPr>
              <w:t>0.735</w:t>
            </w:r>
          </w:p>
        </w:tc>
        <w:tc>
          <w:tcPr>
            <w:tcW w:type="dxa" w:w="1728"/>
          </w:tcPr>
          <w:p>
            <w:pPr>
              <w:spacing w:before="60" w:after="60"/>
              <w:jc w:val="left"/>
            </w:pPr>
            <w:r>
              <w:rPr>
                <w:rFonts w:ascii="Calibri" w:hAnsi="Calibri"/>
                <w:sz w:val="20"/>
              </w:rPr>
              <w:t>0.272</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CatBoost</w:t>
            </w:r>
          </w:p>
        </w:tc>
        <w:tc>
          <w:tcPr>
            <w:tcW w:type="dxa" w:w="1728"/>
            <w:shd w:fill="F5F7FA" w:val="clear"/>
          </w:tcPr>
          <w:p>
            <w:pPr>
              <w:spacing w:before="60" w:after="60"/>
              <w:jc w:val="left"/>
            </w:pPr>
            <w:r>
              <w:rPr>
                <w:rFonts w:ascii="Calibri" w:hAnsi="Calibri"/>
                <w:sz w:val="20"/>
              </w:rPr>
              <w:t>0.532</w:t>
            </w:r>
          </w:p>
        </w:tc>
        <w:tc>
          <w:tcPr>
            <w:tcW w:type="dxa" w:w="1728"/>
            <w:shd w:fill="F5F7FA" w:val="clear"/>
          </w:tcPr>
          <w:p>
            <w:pPr>
              <w:spacing w:before="60" w:after="60"/>
              <w:jc w:val="left"/>
            </w:pPr>
            <w:r>
              <w:rPr>
                <w:rFonts w:ascii="Calibri" w:hAnsi="Calibri"/>
                <w:sz w:val="20"/>
              </w:rPr>
              <w:t>0.735</w:t>
            </w:r>
          </w:p>
        </w:tc>
        <w:tc>
          <w:tcPr>
            <w:tcW w:type="dxa" w:w="1728"/>
            <w:shd w:fill="F5F7FA" w:val="clear"/>
          </w:tcPr>
          <w:p>
            <w:pPr>
              <w:spacing w:before="60" w:after="60"/>
              <w:jc w:val="left"/>
            </w:pPr>
            <w:r>
              <w:rPr>
                <w:rFonts w:ascii="Calibri" w:hAnsi="Calibri"/>
                <w:sz w:val="20"/>
              </w:rPr>
              <w:t>0.272</w:t>
            </w:r>
          </w:p>
        </w:tc>
        <w:tc>
          <w:tcPr>
            <w:tcW w:type="dxa" w:w="1728"/>
            <w:shd w:fill="F5F7FA" w:val="clear"/>
          </w:tcPr>
          <w:p>
            <w:pPr>
              <w:spacing w:before="60" w:after="60"/>
              <w:jc w:val="left"/>
            </w:pPr>
            <w:r>
              <w:rPr>
                <w:rFonts w:ascii="Calibri" w:hAnsi="Calibri"/>
                <w:sz w:val="20"/>
              </w:rPr>
            </w:r>
          </w:p>
        </w:tc>
      </w:tr>
    </w:tbl>
    <w:p>
      <w:r>
        <w:t>The chlorine model is accurate to within 0.53 mg/L. Given the wide safe operating range (0.5–5.0 mg/L), this level of accuracy is sufficient for reliable safety warnings and chemical dosage calculations. The lower R² (0.28) reflects the inherent unpredictability of chlorine levels — they are heavily influenced by UV exposure, bather load, and temperature, none of which are captured in this dataset.</w:t>
      </w:r>
    </w:p>
    <w:p>
      <w:pPr>
        <w:pStyle w:val="Heading2"/>
      </w:pPr>
      <w:r>
        <w:t>Turbidity Prediction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6B" w:val="clear"/>
          </w:tcPr>
          <w:p>
            <w:pPr>
              <w:spacing w:before="60" w:after="60"/>
              <w:jc w:val="left"/>
            </w:pPr>
            <w:r>
              <w:rPr>
                <w:rFonts w:ascii="Calibri" w:hAnsi="Calibri"/>
                <w:b/>
                <w:color w:val="FFFFFF"/>
                <w:sz w:val="20"/>
              </w:rPr>
              <w:t>Model</w:t>
            </w:r>
          </w:p>
        </w:tc>
        <w:tc>
          <w:tcPr>
            <w:tcW w:type="dxa" w:w="1728"/>
            <w:shd w:fill="2C3E6B" w:val="clear"/>
          </w:tcPr>
          <w:p>
            <w:pPr>
              <w:spacing w:before="60" w:after="60"/>
              <w:jc w:val="left"/>
            </w:pPr>
            <w:r>
              <w:rPr>
                <w:rFonts w:ascii="Calibri" w:hAnsi="Calibri"/>
                <w:b/>
                <w:color w:val="FFFFFF"/>
                <w:sz w:val="20"/>
              </w:rPr>
              <w:t>MAE (NTU)</w:t>
            </w:r>
          </w:p>
        </w:tc>
        <w:tc>
          <w:tcPr>
            <w:tcW w:type="dxa" w:w="1728"/>
            <w:shd w:fill="2C3E6B" w:val="clear"/>
          </w:tcPr>
          <w:p>
            <w:pPr>
              <w:spacing w:before="60" w:after="60"/>
              <w:jc w:val="left"/>
            </w:pPr>
            <w:r>
              <w:rPr>
                <w:rFonts w:ascii="Calibri" w:hAnsi="Calibri"/>
                <w:b/>
                <w:color w:val="FFFFFF"/>
                <w:sz w:val="20"/>
              </w:rPr>
              <w:t>RMSE</w:t>
            </w:r>
          </w:p>
        </w:tc>
        <w:tc>
          <w:tcPr>
            <w:tcW w:type="dxa" w:w="1728"/>
            <w:shd w:fill="2C3E6B" w:val="clear"/>
          </w:tcPr>
          <w:p>
            <w:pPr>
              <w:spacing w:before="60" w:after="60"/>
              <w:jc w:val="left"/>
            </w:pPr>
            <w:r>
              <w:rPr>
                <w:rFonts w:ascii="Calibri" w:hAnsi="Calibri"/>
                <w:b/>
                <w:color w:val="FFFFFF"/>
                <w:sz w:val="20"/>
              </w:rPr>
              <w:t>R²</w:t>
            </w:r>
          </w:p>
        </w:tc>
        <w:tc>
          <w:tcPr>
            <w:tcW w:type="dxa" w:w="1728"/>
            <w:shd w:fill="2C3E6B" w:val="clear"/>
          </w:tcPr>
          <w:p>
            <w:pPr>
              <w:spacing w:before="60" w:after="60"/>
              <w:jc w:val="left"/>
            </w:pPr>
            <w:r>
              <w:rPr>
                <w:rFonts w:ascii="Calibri" w:hAnsi="Calibri"/>
                <w:b/>
                <w:color w:val="FFFFFF"/>
                <w:sz w:val="20"/>
              </w:rPr>
            </w:r>
          </w:p>
        </w:tc>
      </w:tr>
      <w:tr>
        <w:tc>
          <w:tcPr>
            <w:tcW w:type="dxa" w:w="1728"/>
            <w:shd w:fill="D4EDDA" w:val="clear"/>
          </w:tcPr>
          <w:p>
            <w:pPr>
              <w:spacing w:before="60" w:after="60"/>
              <w:jc w:val="left"/>
            </w:pPr>
            <w:r>
              <w:rPr>
                <w:rFonts w:ascii="Calibri" w:hAnsi="Calibri"/>
                <w:sz w:val="20"/>
              </w:rPr>
              <w:t>CatBoost</w:t>
            </w:r>
          </w:p>
        </w:tc>
        <w:tc>
          <w:tcPr>
            <w:tcW w:type="dxa" w:w="1728"/>
            <w:shd w:fill="D4EDDA" w:val="clear"/>
          </w:tcPr>
          <w:p>
            <w:pPr>
              <w:spacing w:before="60" w:after="60"/>
              <w:jc w:val="left"/>
            </w:pPr>
            <w:r>
              <w:rPr>
                <w:rFonts w:ascii="Calibri" w:hAnsi="Calibri"/>
                <w:sz w:val="20"/>
              </w:rPr>
              <w:t>0.097</w:t>
            </w:r>
          </w:p>
        </w:tc>
        <w:tc>
          <w:tcPr>
            <w:tcW w:type="dxa" w:w="1728"/>
            <w:shd w:fill="D4EDDA" w:val="clear"/>
          </w:tcPr>
          <w:p>
            <w:pPr>
              <w:spacing w:before="60" w:after="60"/>
              <w:jc w:val="left"/>
            </w:pPr>
            <w:r>
              <w:rPr>
                <w:rFonts w:ascii="Calibri" w:hAnsi="Calibri"/>
                <w:sz w:val="20"/>
              </w:rPr>
              <w:t>0.176</w:t>
            </w:r>
          </w:p>
        </w:tc>
        <w:tc>
          <w:tcPr>
            <w:tcW w:type="dxa" w:w="1728"/>
            <w:shd w:fill="D4EDDA" w:val="clear"/>
          </w:tcPr>
          <w:p>
            <w:pPr>
              <w:spacing w:before="60" w:after="60"/>
              <w:jc w:val="left"/>
            </w:pPr>
            <w:r>
              <w:rPr>
                <w:rFonts w:ascii="Calibri" w:hAnsi="Calibri"/>
                <w:sz w:val="20"/>
              </w:rPr>
              <w:t>0.688</w:t>
            </w:r>
          </w:p>
        </w:tc>
        <w:tc>
          <w:tcPr>
            <w:tcW w:type="dxa" w:w="1728"/>
            <w:shd w:fill="D4EDDA" w:val="clear"/>
          </w:tcPr>
          <w:p>
            <w:pPr>
              <w:spacing w:before="60" w:after="60"/>
              <w:jc w:val="left"/>
            </w:pPr>
            <w:r>
              <w:rPr>
                <w:rFonts w:ascii="Calibri" w:hAnsi="Calibri"/>
                <w:sz w:val="20"/>
              </w:rPr>
              <w:t>✓ Best</w:t>
            </w:r>
          </w:p>
        </w:tc>
      </w:tr>
      <w:tr>
        <w:tc>
          <w:tcPr>
            <w:tcW w:type="dxa" w:w="1728"/>
            <w:shd w:fill="F5F7FA" w:val="clear"/>
          </w:tcPr>
          <w:p>
            <w:pPr>
              <w:spacing w:before="60" w:after="60"/>
              <w:jc w:val="left"/>
            </w:pPr>
            <w:r>
              <w:rPr>
                <w:rFonts w:ascii="Calibri" w:hAnsi="Calibri"/>
                <w:sz w:val="20"/>
              </w:rPr>
              <w:t>Extra Trees</w:t>
            </w:r>
          </w:p>
        </w:tc>
        <w:tc>
          <w:tcPr>
            <w:tcW w:type="dxa" w:w="1728"/>
            <w:shd w:fill="F5F7FA" w:val="clear"/>
          </w:tcPr>
          <w:p>
            <w:pPr>
              <w:spacing w:before="60" w:after="60"/>
              <w:jc w:val="left"/>
            </w:pPr>
            <w:r>
              <w:rPr>
                <w:rFonts w:ascii="Calibri" w:hAnsi="Calibri"/>
                <w:sz w:val="20"/>
              </w:rPr>
              <w:t>0.098</w:t>
            </w:r>
          </w:p>
        </w:tc>
        <w:tc>
          <w:tcPr>
            <w:tcW w:type="dxa" w:w="1728"/>
            <w:shd w:fill="F5F7FA" w:val="clear"/>
          </w:tcPr>
          <w:p>
            <w:pPr>
              <w:spacing w:before="60" w:after="60"/>
              <w:jc w:val="left"/>
            </w:pPr>
            <w:r>
              <w:rPr>
                <w:rFonts w:ascii="Calibri" w:hAnsi="Calibri"/>
                <w:sz w:val="20"/>
              </w:rPr>
              <w:t>0.176</w:t>
            </w:r>
          </w:p>
        </w:tc>
        <w:tc>
          <w:tcPr>
            <w:tcW w:type="dxa" w:w="1728"/>
            <w:shd w:fill="F5F7FA" w:val="clear"/>
          </w:tcPr>
          <w:p>
            <w:pPr>
              <w:spacing w:before="60" w:after="60"/>
              <w:jc w:val="left"/>
            </w:pPr>
            <w:r>
              <w:rPr>
                <w:rFonts w:ascii="Calibri" w:hAnsi="Calibri"/>
                <w:sz w:val="20"/>
              </w:rPr>
              <w:t>0.687</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LightGBM</w:t>
            </w:r>
          </w:p>
        </w:tc>
        <w:tc>
          <w:tcPr>
            <w:tcW w:type="dxa" w:w="1728"/>
          </w:tcPr>
          <w:p>
            <w:pPr>
              <w:spacing w:before="60" w:after="60"/>
              <w:jc w:val="left"/>
            </w:pPr>
            <w:r>
              <w:rPr>
                <w:rFonts w:ascii="Calibri" w:hAnsi="Calibri"/>
                <w:sz w:val="20"/>
              </w:rPr>
              <w:t>0.098</w:t>
            </w:r>
          </w:p>
        </w:tc>
        <w:tc>
          <w:tcPr>
            <w:tcW w:type="dxa" w:w="1728"/>
          </w:tcPr>
          <w:p>
            <w:pPr>
              <w:spacing w:before="60" w:after="60"/>
              <w:jc w:val="left"/>
            </w:pPr>
            <w:r>
              <w:rPr>
                <w:rFonts w:ascii="Calibri" w:hAnsi="Calibri"/>
                <w:sz w:val="20"/>
              </w:rPr>
              <w:t>0.180</w:t>
            </w:r>
          </w:p>
        </w:tc>
        <w:tc>
          <w:tcPr>
            <w:tcW w:type="dxa" w:w="1728"/>
          </w:tcPr>
          <w:p>
            <w:pPr>
              <w:spacing w:before="60" w:after="60"/>
              <w:jc w:val="left"/>
            </w:pPr>
            <w:r>
              <w:rPr>
                <w:rFonts w:ascii="Calibri" w:hAnsi="Calibri"/>
                <w:sz w:val="20"/>
              </w:rPr>
              <w:t>0.675</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XGBoost</w:t>
            </w:r>
          </w:p>
        </w:tc>
        <w:tc>
          <w:tcPr>
            <w:tcW w:type="dxa" w:w="1728"/>
            <w:shd w:fill="F5F7FA" w:val="clear"/>
          </w:tcPr>
          <w:p>
            <w:pPr>
              <w:spacing w:before="60" w:after="60"/>
              <w:jc w:val="left"/>
            </w:pPr>
            <w:r>
              <w:rPr>
                <w:rFonts w:ascii="Calibri" w:hAnsi="Calibri"/>
                <w:sz w:val="20"/>
              </w:rPr>
              <w:t>0.098</w:t>
            </w:r>
          </w:p>
        </w:tc>
        <w:tc>
          <w:tcPr>
            <w:tcW w:type="dxa" w:w="1728"/>
            <w:shd w:fill="F5F7FA" w:val="clear"/>
          </w:tcPr>
          <w:p>
            <w:pPr>
              <w:spacing w:before="60" w:after="60"/>
              <w:jc w:val="left"/>
            </w:pPr>
            <w:r>
              <w:rPr>
                <w:rFonts w:ascii="Calibri" w:hAnsi="Calibri"/>
                <w:sz w:val="20"/>
              </w:rPr>
              <w:t>0.180</w:t>
            </w:r>
          </w:p>
        </w:tc>
        <w:tc>
          <w:tcPr>
            <w:tcW w:type="dxa" w:w="1728"/>
            <w:shd w:fill="F5F7FA" w:val="clear"/>
          </w:tcPr>
          <w:p>
            <w:pPr>
              <w:spacing w:before="60" w:after="60"/>
              <w:jc w:val="left"/>
            </w:pPr>
            <w:r>
              <w:rPr>
                <w:rFonts w:ascii="Calibri" w:hAnsi="Calibri"/>
                <w:sz w:val="20"/>
              </w:rPr>
              <w:t>0.675</w:t>
            </w:r>
          </w:p>
        </w:tc>
        <w:tc>
          <w:tcPr>
            <w:tcW w:type="dxa" w:w="1728"/>
            <w:shd w:fill="F5F7FA" w:val="clear"/>
          </w:tcPr>
          <w:p>
            <w:pPr>
              <w:spacing w:before="60" w:after="60"/>
              <w:jc w:val="left"/>
            </w:pPr>
            <w:r>
              <w:rPr>
                <w:rFonts w:ascii="Calibri" w:hAnsi="Calibri"/>
                <w:sz w:val="20"/>
              </w:rPr>
            </w:r>
          </w:p>
        </w:tc>
      </w:tr>
      <w:tr>
        <w:tc>
          <w:tcPr>
            <w:tcW w:type="dxa" w:w="1728"/>
          </w:tcPr>
          <w:p>
            <w:pPr>
              <w:spacing w:before="60" w:after="60"/>
              <w:jc w:val="left"/>
            </w:pPr>
            <w:r>
              <w:rPr>
                <w:rFonts w:ascii="Calibri" w:hAnsi="Calibri"/>
                <w:sz w:val="20"/>
              </w:rPr>
              <w:t>Gradient Boosting</w:t>
            </w:r>
          </w:p>
        </w:tc>
        <w:tc>
          <w:tcPr>
            <w:tcW w:type="dxa" w:w="1728"/>
          </w:tcPr>
          <w:p>
            <w:pPr>
              <w:spacing w:before="60" w:after="60"/>
              <w:jc w:val="left"/>
            </w:pPr>
            <w:r>
              <w:rPr>
                <w:rFonts w:ascii="Calibri" w:hAnsi="Calibri"/>
                <w:sz w:val="20"/>
              </w:rPr>
              <w:t>0.099</w:t>
            </w:r>
          </w:p>
        </w:tc>
        <w:tc>
          <w:tcPr>
            <w:tcW w:type="dxa" w:w="1728"/>
          </w:tcPr>
          <w:p>
            <w:pPr>
              <w:spacing w:before="60" w:after="60"/>
              <w:jc w:val="left"/>
            </w:pPr>
            <w:r>
              <w:rPr>
                <w:rFonts w:ascii="Calibri" w:hAnsi="Calibri"/>
                <w:sz w:val="20"/>
              </w:rPr>
              <w:t>0.181</w:t>
            </w:r>
          </w:p>
        </w:tc>
        <w:tc>
          <w:tcPr>
            <w:tcW w:type="dxa" w:w="1728"/>
          </w:tcPr>
          <w:p>
            <w:pPr>
              <w:spacing w:before="60" w:after="60"/>
              <w:jc w:val="left"/>
            </w:pPr>
            <w:r>
              <w:rPr>
                <w:rFonts w:ascii="Calibri" w:hAnsi="Calibri"/>
                <w:sz w:val="20"/>
              </w:rPr>
              <w:t>0.670</w:t>
            </w:r>
          </w:p>
        </w:tc>
        <w:tc>
          <w:tcPr>
            <w:tcW w:type="dxa" w:w="1728"/>
          </w:tcPr>
          <w:p>
            <w:pPr>
              <w:spacing w:before="60" w:after="60"/>
              <w:jc w:val="left"/>
            </w:pPr>
            <w:r>
              <w:rPr>
                <w:rFonts w:ascii="Calibri" w:hAnsi="Calibri"/>
                <w:sz w:val="20"/>
              </w:rPr>
            </w:r>
          </w:p>
        </w:tc>
      </w:tr>
      <w:tr>
        <w:tc>
          <w:tcPr>
            <w:tcW w:type="dxa" w:w="1728"/>
            <w:shd w:fill="F5F7FA" w:val="clear"/>
          </w:tcPr>
          <w:p>
            <w:pPr>
              <w:spacing w:before="60" w:after="60"/>
              <w:jc w:val="left"/>
            </w:pPr>
            <w:r>
              <w:rPr>
                <w:rFonts w:ascii="Calibri" w:hAnsi="Calibri"/>
                <w:sz w:val="20"/>
              </w:rPr>
              <w:t>Random Forest</w:t>
            </w:r>
          </w:p>
        </w:tc>
        <w:tc>
          <w:tcPr>
            <w:tcW w:type="dxa" w:w="1728"/>
            <w:shd w:fill="F5F7FA" w:val="clear"/>
          </w:tcPr>
          <w:p>
            <w:pPr>
              <w:spacing w:before="60" w:after="60"/>
              <w:jc w:val="left"/>
            </w:pPr>
            <w:r>
              <w:rPr>
                <w:rFonts w:ascii="Calibri" w:hAnsi="Calibri"/>
                <w:sz w:val="20"/>
              </w:rPr>
              <w:t>0.101</w:t>
            </w:r>
          </w:p>
        </w:tc>
        <w:tc>
          <w:tcPr>
            <w:tcW w:type="dxa" w:w="1728"/>
            <w:shd w:fill="F5F7FA" w:val="clear"/>
          </w:tcPr>
          <w:p>
            <w:pPr>
              <w:spacing w:before="60" w:after="60"/>
              <w:jc w:val="left"/>
            </w:pPr>
            <w:r>
              <w:rPr>
                <w:rFonts w:ascii="Calibri" w:hAnsi="Calibri"/>
                <w:sz w:val="20"/>
              </w:rPr>
              <w:t>0.189</w:t>
            </w:r>
          </w:p>
        </w:tc>
        <w:tc>
          <w:tcPr>
            <w:tcW w:type="dxa" w:w="1728"/>
            <w:shd w:fill="F5F7FA" w:val="clear"/>
          </w:tcPr>
          <w:p>
            <w:pPr>
              <w:spacing w:before="60" w:after="60"/>
              <w:jc w:val="left"/>
            </w:pPr>
            <w:r>
              <w:rPr>
                <w:rFonts w:ascii="Calibri" w:hAnsi="Calibri"/>
                <w:sz w:val="20"/>
              </w:rPr>
              <w:t>0.643</w:t>
            </w:r>
          </w:p>
        </w:tc>
        <w:tc>
          <w:tcPr>
            <w:tcW w:type="dxa" w:w="1728"/>
            <w:shd w:fill="F5F7FA" w:val="clear"/>
          </w:tcPr>
          <w:p>
            <w:pPr>
              <w:spacing w:before="60" w:after="60"/>
              <w:jc w:val="left"/>
            </w:pPr>
            <w:r>
              <w:rPr>
                <w:rFonts w:ascii="Calibri" w:hAnsi="Calibri"/>
                <w:sz w:val="20"/>
              </w:rPr>
            </w:r>
          </w:p>
        </w:tc>
      </w:tr>
    </w:tbl>
    <w:p>
      <w:r>
        <w:t>The turbidity model has the highest accuracy of all targets (R² = 0.69, MAE = 0.10 NTU). Given the regulatory limit of 5 NTU, an error of 0.10 NTU is negligible. Turbidity breaches are extremely rare in this fleet (0.01% of readings), indicating consistently clean water.</w:t>
      </w:r>
    </w:p>
    <w:p>
      <w:pPr>
        <w:pStyle w:val="Heading2"/>
      </w:pPr>
      <w:r>
        <w:t>Summary: Does Any Model Beat XGBoost?</w:t>
      </w:r>
    </w:p>
    <w:p>
      <w:r>
        <w:t>No model significantly outperforms XGBoost. The best model for each target offers at most a marginal (&lt;1%) improvement. This is typical for structured tabular data, where modern gradient boosting methods converge to very similar performance. The current XGBoost-based production pipeline is well justified — it offers the advantage of native model serialization (JSON), mature SHAP explainability, and the widest ecosystem support for deployment.</w:t>
      </w:r>
    </w:p>
    <w:p>
      <w:pPr>
        <w:pStyle w:val="Heading1"/>
      </w:pPr>
      <w:r>
        <w:t>6. Limitations &amp; Known Risks</w:t>
      </w:r>
    </w:p>
    <w:p>
      <w:r>
        <w:t>We identified the following limitations through independent analysis of the data and pipeline. These are presented constructively — most can be addressed with additional data collection or incremental system improvements.</w:t>
      </w:r>
    </w:p>
    <w:p>
      <w:pPr>
        <w:pStyle w:val="Heading3"/>
      </w:pPr>
      <w:r>
        <w:t>Pool Physical Data is Partially Imputed</w:t>
      </w:r>
    </w:p>
    <w:p>
      <w:r>
        <w:t>Pool volume was originally recorded for only 349 of 486 pools (72%). The remaining 137 pools use the fleet median (220.0 m³). Chemical dosage prescriptions for these pools should be treated as approximate. For motor_count, 60% of pools have imputed values.</w:t>
      </w:r>
    </w:p>
    <w:p>
      <w:r>
        <w:t>Recommendation: A one-time data collection exercise to record volume and surface area for all pools would significantly improve dosage accuracy.</w:t>
      </w:r>
    </w:p>
    <w:p>
      <w:pPr>
        <w:pStyle w:val="Heading3"/>
      </w:pPr>
      <w:r>
        <w:t>Some Pools Have Very Limited History</w:t>
      </w:r>
    </w:p>
    <w:p>
      <w:r>
        <w:t>The median pool has 455 readings, but 13 pools have fewer than 5 readings — too few for the lag and rolling features to be meaningful. For these pools, predictions rely heavily on fleet-wide patterns rather than pool-specific history. Predictions for pools with fewer than ~10 historical readings should be treated as lower-confidence estimates.</w:t>
      </w:r>
    </w:p>
    <w:p>
      <w:pPr>
        <w:pStyle w:val="Heading3"/>
      </w:pPr>
      <w:r>
        <w:t>Safety Alert Precision is Limited by Data Imbalance</w:t>
      </w:r>
    </w:p>
    <w:p>
      <w:r>
        <w:t>Only 0.6% of readings have dangerously low chlorine (&lt; 0.5 mg/L) — an imbalance ratio of approximately 1:169. The safety alert classifier catches ~80% of true low-chlorine events (recall = 0.80), but ~97% of its alerts are false positives (precision = 0.03). This is a deliberate tradeoff: the system prioritizes not missing a genuine safety event, at the cost of some unnecessary alerts. As more data accumulates (especially positive breach examples), precision will improve.</w:t>
      </w:r>
    </w:p>
    <w:p>
      <w:pPr>
        <w:pStyle w:val="Heading3"/>
      </w:pPr>
      <w:r>
        <w:t>Winter Predictions May Be Less Reliable</w:t>
      </w:r>
    </w:p>
    <w:p>
      <w:r>
        <w:t>The dataset contains 3.1× more summer readings than winter readings (60.1% vs 19.2%). The test set is dominated by summer months (April–September). Winter-specific patterns have less training data, and winter predictions have not been as extensively validated.</w:t>
      </w:r>
    </w:p>
    <w:p>
      <w:pPr>
        <w:pStyle w:val="Heading3"/>
      </w:pPr>
      <w:r>
        <w:t>External Factors Not Captured</w:t>
      </w:r>
    </w:p>
    <w:p>
      <w:r>
        <w:t>The system does not currently account for: weather conditions (temperature, rainfall, UV index), bather load (pool usage patterns), algae events beyond turbidity measurements, chemical brand/quality variability, technician measurement variability, or equipment failures. Adding weather data (available via public APIs) would likely improve chlorine predictions the most, as UV exposure is the primary driver of chlorine degradation.</w:t>
      </w:r>
    </w:p>
    <w:p>
      <w:pPr>
        <w:pStyle w:val="Heading3"/>
      </w:pPr>
      <w:r>
        <w:t>Fleet-Specific Model</w:t>
      </w:r>
    </w:p>
    <w:p>
      <w:r>
        <w:t>This model is trained on data from a single service company (32 technicians) in one region (Comunitat Valenciana). The seasonal baselines, chlorine dosing practices, and chemical product types are specific to this fleet and Mediterranean climate. Deploying this model for a different region (e.g., northern Spain, France, Germany) would require retraining on local data, as seasonal patterns, regulations, and maintenance practices differ significantly.</w:t>
      </w:r>
    </w:p>
    <w:p>
      <w:pPr>
        <w:pStyle w:val="Heading1"/>
      </w:pPr>
      <w:r>
        <w:t>7. Example Outputs</w:t>
      </w:r>
    </w:p>
    <w:p>
      <w:r>
        <w:t>Below are three representative prescriptions generated by the system, showing the range of recommendations from routine maintenance to urgent intervention.</w:t>
      </w:r>
    </w:p>
    <w:p>
      <w:pPr>
        <w:pStyle w:val="Heading3"/>
      </w:pPr>
      <w:r>
        <w:t>Example 1: Stable Pool — Routine Visit</w:t>
      </w:r>
    </w:p>
    <w:tbl>
      <w:tblPr>
        <w:tblStyle w:val="TableGrid"/>
        <w:tblW w:type="auto" w:w="0"/>
        <w:jc w:val="center"/>
        <w:tblLook w:firstColumn="1" w:firstRow="1" w:lastColumn="0" w:lastRow="0" w:noHBand="0" w:noVBand="1" w:val="04A0"/>
      </w:tblPr>
      <w:tblGrid>
        <w:gridCol w:w="4320"/>
        <w:gridCol w:w="4320"/>
      </w:tblGrid>
      <w:tr>
        <w:tc>
          <w:tcPr>
            <w:tcW w:type="dxa" w:w="4320"/>
            <w:shd w:fill="2C3E6B" w:val="clear"/>
          </w:tcPr>
          <w:p>
            <w:pPr>
              <w:spacing w:before="60" w:after="60"/>
              <w:jc w:val="left"/>
            </w:pPr>
            <w:r>
              <w:rPr>
                <w:rFonts w:ascii="Calibri" w:hAnsi="Calibri"/>
                <w:b/>
                <w:color w:val="FFFFFF"/>
                <w:sz w:val="20"/>
              </w:rPr>
              <w:t>Pool</w:t>
            </w:r>
          </w:p>
        </w:tc>
        <w:tc>
          <w:tcPr>
            <w:tcW w:type="dxa" w:w="4320"/>
            <w:shd w:fill="2C3E6B" w:val="clear"/>
          </w:tcPr>
          <w:p>
            <w:pPr>
              <w:spacing w:before="60" w:after="60"/>
              <w:jc w:val="left"/>
            </w:pPr>
            <w:r>
              <w:rPr>
                <w:rFonts w:ascii="Calibri" w:hAnsi="Calibri"/>
                <w:b/>
                <w:color w:val="FFFFFF"/>
                <w:sz w:val="20"/>
              </w:rPr>
              <w:t>Bulevar Doce (1013)</w:t>
            </w:r>
          </w:p>
        </w:tc>
      </w:tr>
      <w:tr>
        <w:tc>
          <w:tcPr>
            <w:tcW w:type="dxa" w:w="4320"/>
          </w:tcPr>
          <w:p>
            <w:pPr>
              <w:spacing w:before="60" w:after="60"/>
              <w:jc w:val="left"/>
            </w:pPr>
            <w:r>
              <w:rPr>
                <w:rFonts w:ascii="Calibri" w:hAnsi="Calibri"/>
                <w:sz w:val="20"/>
              </w:rPr>
              <w:t>Current pH</w:t>
            </w:r>
          </w:p>
        </w:tc>
        <w:tc>
          <w:tcPr>
            <w:tcW w:type="dxa" w:w="4320"/>
          </w:tcPr>
          <w:p>
            <w:pPr>
              <w:spacing w:before="60" w:after="60"/>
              <w:jc w:val="left"/>
            </w:pPr>
            <w:r>
              <w:rPr>
                <w:rFonts w:ascii="Calibri" w:hAnsi="Calibri"/>
                <w:sz w:val="20"/>
              </w:rPr>
              <w:t>7.6</w:t>
            </w:r>
          </w:p>
        </w:tc>
      </w:tr>
      <w:tr>
        <w:tc>
          <w:tcPr>
            <w:tcW w:type="dxa" w:w="4320"/>
            <w:shd w:fill="F5F7FA" w:val="clear"/>
          </w:tcPr>
          <w:p>
            <w:pPr>
              <w:spacing w:before="60" w:after="60"/>
              <w:jc w:val="left"/>
            </w:pPr>
            <w:r>
              <w:rPr>
                <w:rFonts w:ascii="Calibri" w:hAnsi="Calibri"/>
                <w:sz w:val="20"/>
              </w:rPr>
              <w:t>Current Chlorine</w:t>
            </w:r>
          </w:p>
        </w:tc>
        <w:tc>
          <w:tcPr>
            <w:tcW w:type="dxa" w:w="4320"/>
            <w:shd w:fill="F5F7FA" w:val="clear"/>
          </w:tcPr>
          <w:p>
            <w:pPr>
              <w:spacing w:before="60" w:after="60"/>
              <w:jc w:val="left"/>
            </w:pPr>
            <w:r>
              <w:rPr>
                <w:rFonts w:ascii="Calibri" w:hAnsi="Calibri"/>
                <w:sz w:val="20"/>
              </w:rPr>
              <w:t>3.1 mg/L</w:t>
            </w:r>
          </w:p>
        </w:tc>
      </w:tr>
      <w:tr>
        <w:tc>
          <w:tcPr>
            <w:tcW w:type="dxa" w:w="4320"/>
          </w:tcPr>
          <w:p>
            <w:pPr>
              <w:spacing w:before="60" w:after="60"/>
              <w:jc w:val="left"/>
            </w:pPr>
            <w:r>
              <w:rPr>
                <w:rFonts w:ascii="Calibri" w:hAnsi="Calibri"/>
                <w:sz w:val="20"/>
              </w:rPr>
              <w:t>Current Turbidity</w:t>
            </w:r>
          </w:p>
        </w:tc>
        <w:tc>
          <w:tcPr>
            <w:tcW w:type="dxa" w:w="4320"/>
          </w:tcPr>
          <w:p>
            <w:pPr>
              <w:spacing w:before="60" w:after="60"/>
              <w:jc w:val="left"/>
            </w:pPr>
            <w:r>
              <w:rPr>
                <w:rFonts w:ascii="Calibri" w:hAnsi="Calibri"/>
                <w:sz w:val="20"/>
              </w:rPr>
              <w:t>0.3 NTU</w:t>
            </w:r>
          </w:p>
        </w:tc>
      </w:tr>
      <w:tr>
        <w:tc>
          <w:tcPr>
            <w:tcW w:type="dxa" w:w="4320"/>
            <w:shd w:fill="F5F7FA" w:val="clear"/>
          </w:tcPr>
          <w:p>
            <w:pPr>
              <w:spacing w:before="60" w:after="60"/>
              <w:jc w:val="left"/>
            </w:pPr>
            <w:r>
              <w:rPr>
                <w:rFonts w:ascii="Calibri" w:hAnsi="Calibri"/>
                <w:sz w:val="20"/>
              </w:rPr>
              <w:t>Predicted pH (next visit)</w:t>
            </w:r>
          </w:p>
        </w:tc>
        <w:tc>
          <w:tcPr>
            <w:tcW w:type="dxa" w:w="4320"/>
            <w:shd w:fill="F5F7FA" w:val="clear"/>
          </w:tcPr>
          <w:p>
            <w:pPr>
              <w:spacing w:before="60" w:after="60"/>
              <w:jc w:val="left"/>
            </w:pPr>
            <w:r>
              <w:rPr>
                <w:rFonts w:ascii="Calibri" w:hAnsi="Calibri"/>
                <w:sz w:val="20"/>
              </w:rPr>
              <w:t>7.57</w:t>
            </w:r>
          </w:p>
        </w:tc>
      </w:tr>
      <w:tr>
        <w:tc>
          <w:tcPr>
            <w:tcW w:type="dxa" w:w="4320"/>
          </w:tcPr>
          <w:p>
            <w:pPr>
              <w:spacing w:before="60" w:after="60"/>
              <w:jc w:val="left"/>
            </w:pPr>
            <w:r>
              <w:rPr>
                <w:rFonts w:ascii="Calibri" w:hAnsi="Calibri"/>
                <w:sz w:val="20"/>
              </w:rPr>
              <w:t>Predicted Chlorine</w:t>
            </w:r>
          </w:p>
        </w:tc>
        <w:tc>
          <w:tcPr>
            <w:tcW w:type="dxa" w:w="4320"/>
          </w:tcPr>
          <w:p>
            <w:pPr>
              <w:spacing w:before="60" w:after="60"/>
              <w:jc w:val="left"/>
            </w:pPr>
            <w:r>
              <w:rPr>
                <w:rFonts w:ascii="Calibri" w:hAnsi="Calibri"/>
                <w:sz w:val="20"/>
              </w:rPr>
              <w:t>3.09 mg/L</w:t>
            </w:r>
          </w:p>
        </w:tc>
      </w:tr>
      <w:tr>
        <w:tc>
          <w:tcPr>
            <w:tcW w:type="dxa" w:w="4320"/>
            <w:shd w:fill="F5F7FA" w:val="clear"/>
          </w:tcPr>
          <w:p>
            <w:pPr>
              <w:spacing w:before="60" w:after="60"/>
              <w:jc w:val="left"/>
            </w:pPr>
            <w:r>
              <w:rPr>
                <w:rFonts w:ascii="Calibri" w:hAnsi="Calibri"/>
                <w:sz w:val="20"/>
              </w:rPr>
              <w:t>Recommended Visit</w:t>
            </w:r>
          </w:p>
        </w:tc>
        <w:tc>
          <w:tcPr>
            <w:tcW w:type="dxa" w:w="4320"/>
            <w:shd w:fill="F5F7FA" w:val="clear"/>
          </w:tcPr>
          <w:p>
            <w:pPr>
              <w:spacing w:before="60" w:after="60"/>
              <w:jc w:val="left"/>
            </w:pPr>
            <w:r>
              <w:rPr>
                <w:rFonts w:ascii="Calibri" w:hAnsi="Calibri"/>
                <w:sz w:val="20"/>
              </w:rPr>
              <w:t>6 days — Routine</w:t>
            </w:r>
          </w:p>
        </w:tc>
      </w:tr>
      <w:tr>
        <w:tc>
          <w:tcPr>
            <w:tcW w:type="dxa" w:w="4320"/>
          </w:tcPr>
          <w:p>
            <w:pPr>
              <w:spacing w:before="60" w:after="60"/>
              <w:jc w:val="left"/>
            </w:pPr>
            <w:r>
              <w:rPr>
                <w:rFonts w:ascii="Calibri" w:hAnsi="Calibri"/>
                <w:sz w:val="20"/>
              </w:rPr>
              <w:t>Chemical Prescription</w:t>
            </w:r>
          </w:p>
        </w:tc>
        <w:tc>
          <w:tcPr>
            <w:tcW w:type="dxa" w:w="4320"/>
          </w:tcPr>
          <w:p>
            <w:pPr>
              <w:spacing w:before="60" w:after="60"/>
              <w:jc w:val="left"/>
            </w:pPr>
            <w:r>
              <w:rPr>
                <w:rFonts w:ascii="Calibri" w:hAnsi="Calibri"/>
                <w:sz w:val="20"/>
              </w:rPr>
              <w:t>No chemicals needed</w:t>
            </w:r>
          </w:p>
        </w:tc>
      </w:tr>
      <w:tr>
        <w:tc>
          <w:tcPr>
            <w:tcW w:type="dxa" w:w="4320"/>
            <w:shd w:fill="F5F7FA" w:val="clear"/>
          </w:tcPr>
          <w:p>
            <w:pPr>
              <w:spacing w:before="60" w:after="60"/>
              <w:jc w:val="left"/>
            </w:pPr>
          </w:p>
        </w:tc>
        <w:tc>
          <w:tcPr>
            <w:tcW w:type="dxa" w:w="4320"/>
            <w:shd w:fill="F5F7FA" w:val="clear"/>
          </w:tcPr>
          <w:p>
            <w:pPr>
              <w:spacing w:before="60" w:after="60"/>
              <w:jc w:val="left"/>
            </w:pPr>
          </w:p>
        </w:tc>
      </w:tr>
    </w:tbl>
    <w:p>
      <w:pPr>
        <w:pStyle w:val="Heading3"/>
      </w:pPr>
      <w:r>
        <w:t>Example 2: pH Drift — Early Visit Recommended</w:t>
      </w:r>
    </w:p>
    <w:tbl>
      <w:tblPr>
        <w:tblStyle w:val="TableGrid"/>
        <w:tblW w:type="auto" w:w="0"/>
        <w:jc w:val="center"/>
        <w:tblLook w:firstColumn="1" w:firstRow="1" w:lastColumn="0" w:lastRow="0" w:noHBand="0" w:noVBand="1" w:val="04A0"/>
      </w:tblPr>
      <w:tblGrid>
        <w:gridCol w:w="4320"/>
        <w:gridCol w:w="4320"/>
      </w:tblGrid>
      <w:tr>
        <w:tc>
          <w:tcPr>
            <w:tcW w:type="dxa" w:w="4320"/>
            <w:shd w:fill="2C3E6B" w:val="clear"/>
          </w:tcPr>
          <w:p>
            <w:pPr>
              <w:spacing w:before="60" w:after="60"/>
              <w:jc w:val="left"/>
            </w:pPr>
            <w:r>
              <w:rPr>
                <w:rFonts w:ascii="Calibri" w:hAnsi="Calibri"/>
                <w:b/>
                <w:color w:val="FFFFFF"/>
                <w:sz w:val="20"/>
              </w:rPr>
              <w:t>Pool</w:t>
            </w:r>
          </w:p>
        </w:tc>
        <w:tc>
          <w:tcPr>
            <w:tcW w:type="dxa" w:w="4320"/>
            <w:shd w:fill="2C3E6B" w:val="clear"/>
          </w:tcPr>
          <w:p>
            <w:pPr>
              <w:spacing w:before="60" w:after="60"/>
              <w:jc w:val="left"/>
            </w:pPr>
            <w:r>
              <w:rPr>
                <w:rFonts w:ascii="Calibri" w:hAnsi="Calibri"/>
                <w:b/>
                <w:color w:val="FFFFFF"/>
                <w:sz w:val="20"/>
              </w:rPr>
              <w:t>Residencial Alkabir (426)</w:t>
            </w:r>
          </w:p>
        </w:tc>
      </w:tr>
      <w:tr>
        <w:tc>
          <w:tcPr>
            <w:tcW w:type="dxa" w:w="4320"/>
          </w:tcPr>
          <w:p>
            <w:pPr>
              <w:spacing w:before="60" w:after="60"/>
              <w:jc w:val="left"/>
            </w:pPr>
            <w:r>
              <w:rPr>
                <w:rFonts w:ascii="Calibri" w:hAnsi="Calibri"/>
                <w:sz w:val="20"/>
              </w:rPr>
              <w:t>Current pH</w:t>
            </w:r>
          </w:p>
        </w:tc>
        <w:tc>
          <w:tcPr>
            <w:tcW w:type="dxa" w:w="4320"/>
          </w:tcPr>
          <w:p>
            <w:pPr>
              <w:spacing w:before="60" w:after="60"/>
              <w:jc w:val="left"/>
            </w:pPr>
            <w:r>
              <w:rPr>
                <w:rFonts w:ascii="Calibri" w:hAnsi="Calibri"/>
                <w:sz w:val="20"/>
              </w:rPr>
              <w:t>7.2 (at lower limit)</w:t>
            </w:r>
          </w:p>
        </w:tc>
      </w:tr>
      <w:tr>
        <w:tc>
          <w:tcPr>
            <w:tcW w:type="dxa" w:w="4320"/>
            <w:shd w:fill="F5F7FA" w:val="clear"/>
          </w:tcPr>
          <w:p>
            <w:pPr>
              <w:spacing w:before="60" w:after="60"/>
              <w:jc w:val="left"/>
            </w:pPr>
            <w:r>
              <w:rPr>
                <w:rFonts w:ascii="Calibri" w:hAnsi="Calibri"/>
                <w:sz w:val="20"/>
              </w:rPr>
              <w:t>Current Chlorine</w:t>
            </w:r>
          </w:p>
        </w:tc>
        <w:tc>
          <w:tcPr>
            <w:tcW w:type="dxa" w:w="4320"/>
            <w:shd w:fill="F5F7FA" w:val="clear"/>
          </w:tcPr>
          <w:p>
            <w:pPr>
              <w:spacing w:before="60" w:after="60"/>
              <w:jc w:val="left"/>
            </w:pPr>
            <w:r>
              <w:rPr>
                <w:rFonts w:ascii="Calibri" w:hAnsi="Calibri"/>
                <w:sz w:val="20"/>
              </w:rPr>
              <w:t>5.0 mg/L</w:t>
            </w:r>
          </w:p>
        </w:tc>
      </w:tr>
      <w:tr>
        <w:tc>
          <w:tcPr>
            <w:tcW w:type="dxa" w:w="4320"/>
          </w:tcPr>
          <w:p>
            <w:pPr>
              <w:spacing w:before="60" w:after="60"/>
              <w:jc w:val="left"/>
            </w:pPr>
            <w:r>
              <w:rPr>
                <w:rFonts w:ascii="Calibri" w:hAnsi="Calibri"/>
                <w:sz w:val="20"/>
              </w:rPr>
              <w:t>Current Turbidity</w:t>
            </w:r>
          </w:p>
        </w:tc>
        <w:tc>
          <w:tcPr>
            <w:tcW w:type="dxa" w:w="4320"/>
          </w:tcPr>
          <w:p>
            <w:pPr>
              <w:spacing w:before="60" w:after="60"/>
              <w:jc w:val="left"/>
            </w:pPr>
            <w:r>
              <w:rPr>
                <w:rFonts w:ascii="Calibri" w:hAnsi="Calibri"/>
                <w:sz w:val="20"/>
              </w:rPr>
              <w:t>1.1 NTU</w:t>
            </w:r>
          </w:p>
        </w:tc>
      </w:tr>
      <w:tr>
        <w:tc>
          <w:tcPr>
            <w:tcW w:type="dxa" w:w="4320"/>
            <w:shd w:fill="F5F7FA" w:val="clear"/>
          </w:tcPr>
          <w:p>
            <w:pPr>
              <w:spacing w:before="60" w:after="60"/>
              <w:jc w:val="left"/>
            </w:pPr>
            <w:r>
              <w:rPr>
                <w:rFonts w:ascii="Calibri" w:hAnsi="Calibri"/>
                <w:sz w:val="20"/>
              </w:rPr>
              <w:t>Predicted pH (next visit)</w:t>
            </w:r>
          </w:p>
        </w:tc>
        <w:tc>
          <w:tcPr>
            <w:tcW w:type="dxa" w:w="4320"/>
            <w:shd w:fill="F5F7FA" w:val="clear"/>
          </w:tcPr>
          <w:p>
            <w:pPr>
              <w:spacing w:before="60" w:after="60"/>
              <w:jc w:val="left"/>
            </w:pPr>
            <w:r>
              <w:rPr>
                <w:rFonts w:ascii="Calibri" w:hAnsi="Calibri"/>
                <w:sz w:val="20"/>
              </w:rPr>
              <w:t>7.25</w:t>
            </w:r>
          </w:p>
        </w:tc>
      </w:tr>
      <w:tr>
        <w:tc>
          <w:tcPr>
            <w:tcW w:type="dxa" w:w="4320"/>
          </w:tcPr>
          <w:p>
            <w:pPr>
              <w:spacing w:before="60" w:after="60"/>
              <w:jc w:val="left"/>
            </w:pPr>
            <w:r>
              <w:rPr>
                <w:rFonts w:ascii="Calibri" w:hAnsi="Calibri"/>
                <w:sz w:val="20"/>
              </w:rPr>
              <w:t>Predicted Chlorine</w:t>
            </w:r>
          </w:p>
        </w:tc>
        <w:tc>
          <w:tcPr>
            <w:tcW w:type="dxa" w:w="4320"/>
          </w:tcPr>
          <w:p>
            <w:pPr>
              <w:spacing w:before="60" w:after="60"/>
              <w:jc w:val="left"/>
            </w:pPr>
            <w:r>
              <w:rPr>
                <w:rFonts w:ascii="Calibri" w:hAnsi="Calibri"/>
                <w:sz w:val="20"/>
              </w:rPr>
              <w:t>3.03 mg/L</w:t>
            </w:r>
          </w:p>
        </w:tc>
      </w:tr>
      <w:tr>
        <w:tc>
          <w:tcPr>
            <w:tcW w:type="dxa" w:w="4320"/>
            <w:shd w:fill="F5F7FA" w:val="clear"/>
          </w:tcPr>
          <w:p>
            <w:pPr>
              <w:spacing w:before="60" w:after="60"/>
              <w:jc w:val="left"/>
            </w:pPr>
            <w:r>
              <w:rPr>
                <w:rFonts w:ascii="Calibri" w:hAnsi="Calibri"/>
                <w:sz w:val="20"/>
              </w:rPr>
              <w:t>Recommended Visit</w:t>
            </w:r>
          </w:p>
        </w:tc>
        <w:tc>
          <w:tcPr>
            <w:tcW w:type="dxa" w:w="4320"/>
            <w:shd w:fill="F5F7FA" w:val="clear"/>
          </w:tcPr>
          <w:p>
            <w:pPr>
              <w:spacing w:before="60" w:after="60"/>
              <w:jc w:val="left"/>
            </w:pPr>
            <w:r>
              <w:rPr>
                <w:rFonts w:ascii="Calibri" w:hAnsi="Calibri"/>
                <w:sz w:val="20"/>
              </w:rPr>
              <w:t>5 days — Soon</w:t>
            </w:r>
          </w:p>
        </w:tc>
      </w:tr>
      <w:tr>
        <w:tc>
          <w:tcPr>
            <w:tcW w:type="dxa" w:w="4320"/>
          </w:tcPr>
          <w:p>
            <w:pPr>
              <w:spacing w:before="60" w:after="60"/>
              <w:jc w:val="left"/>
            </w:pPr>
            <w:r>
              <w:rPr>
                <w:rFonts w:ascii="Calibri" w:hAnsi="Calibri"/>
                <w:sz w:val="20"/>
              </w:rPr>
              <w:t>Chemical Prescription</w:t>
            </w:r>
          </w:p>
        </w:tc>
        <w:tc>
          <w:tcPr>
            <w:tcW w:type="dxa" w:w="4320"/>
          </w:tcPr>
          <w:p>
            <w:pPr>
              <w:spacing w:before="60" w:after="60"/>
              <w:jc w:val="left"/>
            </w:pPr>
            <w:r>
              <w:rPr>
                <w:rFonts w:ascii="Calibri" w:hAnsi="Calibri"/>
                <w:sz w:val="20"/>
              </w:rPr>
              <w:t>Monitor pH closely; headroom to limit is 0.00</w:t>
            </w:r>
          </w:p>
        </w:tc>
      </w:tr>
      <w:tr>
        <w:tc>
          <w:tcPr>
            <w:tcW w:type="dxa" w:w="4320"/>
            <w:shd w:fill="F5F7FA" w:val="clear"/>
          </w:tcPr>
          <w:p>
            <w:pPr>
              <w:spacing w:before="60" w:after="60"/>
              <w:jc w:val="left"/>
            </w:pPr>
          </w:p>
        </w:tc>
        <w:tc>
          <w:tcPr>
            <w:tcW w:type="dxa" w:w="4320"/>
            <w:shd w:fill="F5F7FA" w:val="clear"/>
          </w:tcPr>
          <w:p>
            <w:pPr>
              <w:spacing w:before="60" w:after="60"/>
              <w:jc w:val="left"/>
            </w:pPr>
          </w:p>
        </w:tc>
      </w:tr>
    </w:tbl>
    <w:p>
      <w:pPr>
        <w:pStyle w:val="Heading3"/>
      </w:pPr>
      <w:r>
        <w:t>Example 3: Safety Alert — Immediate Action</w:t>
      </w:r>
    </w:p>
    <w:tbl>
      <w:tblPr>
        <w:tblStyle w:val="TableGrid"/>
        <w:tblW w:type="auto" w:w="0"/>
        <w:jc w:val="center"/>
        <w:tblLook w:firstColumn="1" w:firstRow="1" w:lastColumn="0" w:lastRow="0" w:noHBand="0" w:noVBand="1" w:val="04A0"/>
      </w:tblPr>
      <w:tblGrid>
        <w:gridCol w:w="4320"/>
        <w:gridCol w:w="4320"/>
      </w:tblGrid>
      <w:tr>
        <w:tc>
          <w:tcPr>
            <w:tcW w:type="dxa" w:w="4320"/>
            <w:shd w:fill="2C3E6B" w:val="clear"/>
          </w:tcPr>
          <w:p>
            <w:pPr>
              <w:spacing w:before="60" w:after="60"/>
              <w:jc w:val="left"/>
            </w:pPr>
            <w:r>
              <w:rPr>
                <w:rFonts w:ascii="Calibri" w:hAnsi="Calibri"/>
                <w:b/>
                <w:color w:val="FFFFFF"/>
                <w:sz w:val="20"/>
              </w:rPr>
              <w:t>Pool</w:t>
            </w:r>
          </w:p>
        </w:tc>
        <w:tc>
          <w:tcPr>
            <w:tcW w:type="dxa" w:w="4320"/>
            <w:shd w:fill="2C3E6B" w:val="clear"/>
          </w:tcPr>
          <w:p>
            <w:pPr>
              <w:spacing w:before="60" w:after="60"/>
              <w:jc w:val="left"/>
            </w:pPr>
            <w:r>
              <w:rPr>
                <w:rFonts w:ascii="Calibri" w:hAnsi="Calibri"/>
                <w:b/>
                <w:color w:val="FFFFFF"/>
                <w:sz w:val="20"/>
              </w:rPr>
              <w:t>Hercules II Bloque II (9914)</w:t>
            </w:r>
          </w:p>
        </w:tc>
      </w:tr>
      <w:tr>
        <w:tc>
          <w:tcPr>
            <w:tcW w:type="dxa" w:w="4320"/>
          </w:tcPr>
          <w:p>
            <w:pPr>
              <w:spacing w:before="60" w:after="60"/>
              <w:jc w:val="left"/>
            </w:pPr>
            <w:r>
              <w:rPr>
                <w:rFonts w:ascii="Calibri" w:hAnsi="Calibri"/>
                <w:sz w:val="20"/>
              </w:rPr>
              <w:t>Current pH</w:t>
            </w:r>
          </w:p>
        </w:tc>
        <w:tc>
          <w:tcPr>
            <w:tcW w:type="dxa" w:w="4320"/>
          </w:tcPr>
          <w:p>
            <w:pPr>
              <w:spacing w:before="60" w:after="60"/>
              <w:jc w:val="left"/>
            </w:pPr>
            <w:r>
              <w:rPr>
                <w:rFonts w:ascii="Calibri" w:hAnsi="Calibri"/>
                <w:sz w:val="20"/>
              </w:rPr>
              <w:t>7.4</w:t>
            </w:r>
          </w:p>
        </w:tc>
      </w:tr>
      <w:tr>
        <w:tc>
          <w:tcPr>
            <w:tcW w:type="dxa" w:w="4320"/>
            <w:shd w:fill="F5F7FA" w:val="clear"/>
          </w:tcPr>
          <w:p>
            <w:pPr>
              <w:spacing w:before="60" w:after="60"/>
              <w:jc w:val="left"/>
            </w:pPr>
            <w:r>
              <w:rPr>
                <w:rFonts w:ascii="Calibri" w:hAnsi="Calibri"/>
                <w:sz w:val="20"/>
              </w:rPr>
              <w:t>Current Chlorine</w:t>
            </w:r>
          </w:p>
        </w:tc>
        <w:tc>
          <w:tcPr>
            <w:tcW w:type="dxa" w:w="4320"/>
            <w:shd w:fill="F5F7FA" w:val="clear"/>
          </w:tcPr>
          <w:p>
            <w:pPr>
              <w:spacing w:before="60" w:after="60"/>
              <w:jc w:val="left"/>
            </w:pPr>
            <w:r>
              <w:rPr>
                <w:rFonts w:ascii="Calibri" w:hAnsi="Calibri"/>
                <w:sz w:val="20"/>
              </w:rPr>
              <w:t>0.8 mg/L</w:t>
            </w:r>
          </w:p>
        </w:tc>
      </w:tr>
      <w:tr>
        <w:tc>
          <w:tcPr>
            <w:tcW w:type="dxa" w:w="4320"/>
          </w:tcPr>
          <w:p>
            <w:pPr>
              <w:spacing w:before="60" w:after="60"/>
              <w:jc w:val="left"/>
            </w:pPr>
            <w:r>
              <w:rPr>
                <w:rFonts w:ascii="Calibri" w:hAnsi="Calibri"/>
                <w:sz w:val="20"/>
              </w:rPr>
              <w:t>Current Turbidity</w:t>
            </w:r>
          </w:p>
        </w:tc>
        <w:tc>
          <w:tcPr>
            <w:tcW w:type="dxa" w:w="4320"/>
          </w:tcPr>
          <w:p>
            <w:pPr>
              <w:spacing w:before="60" w:after="60"/>
              <w:jc w:val="left"/>
            </w:pPr>
            <w:r>
              <w:rPr>
                <w:rFonts w:ascii="Calibri" w:hAnsi="Calibri"/>
                <w:sz w:val="20"/>
              </w:rPr>
              <w:t>1.2 NTU</w:t>
            </w:r>
          </w:p>
        </w:tc>
      </w:tr>
      <w:tr>
        <w:tc>
          <w:tcPr>
            <w:tcW w:type="dxa" w:w="4320"/>
            <w:shd w:fill="F5F7FA" w:val="clear"/>
          </w:tcPr>
          <w:p>
            <w:pPr>
              <w:spacing w:before="60" w:after="60"/>
              <w:jc w:val="left"/>
            </w:pPr>
            <w:r>
              <w:rPr>
                <w:rFonts w:ascii="Calibri" w:hAnsi="Calibri"/>
                <w:sz w:val="20"/>
              </w:rPr>
              <w:t>Predicted pH (next visit)</w:t>
            </w:r>
          </w:p>
        </w:tc>
        <w:tc>
          <w:tcPr>
            <w:tcW w:type="dxa" w:w="4320"/>
            <w:shd w:fill="F5F7FA" w:val="clear"/>
          </w:tcPr>
          <w:p>
            <w:pPr>
              <w:spacing w:before="60" w:after="60"/>
              <w:jc w:val="left"/>
            </w:pPr>
            <w:r>
              <w:rPr>
                <w:rFonts w:ascii="Calibri" w:hAnsi="Calibri"/>
                <w:sz w:val="20"/>
              </w:rPr>
              <w:t>7.39</w:t>
            </w:r>
          </w:p>
        </w:tc>
      </w:tr>
      <w:tr>
        <w:tc>
          <w:tcPr>
            <w:tcW w:type="dxa" w:w="4320"/>
          </w:tcPr>
          <w:p>
            <w:pPr>
              <w:spacing w:before="60" w:after="60"/>
              <w:jc w:val="left"/>
            </w:pPr>
            <w:r>
              <w:rPr>
                <w:rFonts w:ascii="Calibri" w:hAnsi="Calibri"/>
                <w:sz w:val="20"/>
              </w:rPr>
              <w:t>Predicted Chlorine</w:t>
            </w:r>
          </w:p>
        </w:tc>
        <w:tc>
          <w:tcPr>
            <w:tcW w:type="dxa" w:w="4320"/>
          </w:tcPr>
          <w:p>
            <w:pPr>
              <w:spacing w:before="60" w:after="60"/>
              <w:jc w:val="left"/>
            </w:pPr>
            <w:r>
              <w:rPr>
                <w:rFonts w:ascii="Calibri" w:hAnsi="Calibri"/>
                <w:sz w:val="20"/>
              </w:rPr>
              <w:t>2.34 mg/L</w:t>
            </w:r>
          </w:p>
        </w:tc>
      </w:tr>
      <w:tr>
        <w:tc>
          <w:tcPr>
            <w:tcW w:type="dxa" w:w="4320"/>
            <w:shd w:fill="F5F7FA" w:val="clear"/>
          </w:tcPr>
          <w:p>
            <w:pPr>
              <w:spacing w:before="60" w:after="60"/>
              <w:jc w:val="left"/>
            </w:pPr>
            <w:r>
              <w:rPr>
                <w:rFonts w:ascii="Calibri" w:hAnsi="Calibri"/>
                <w:sz w:val="20"/>
              </w:rPr>
              <w:t>Safety Alert</w:t>
            </w:r>
          </w:p>
        </w:tc>
        <w:tc>
          <w:tcPr>
            <w:tcW w:type="dxa" w:w="4320"/>
            <w:shd w:fill="F5F7FA" w:val="clear"/>
          </w:tcPr>
          <w:p>
            <w:pPr>
              <w:spacing w:before="60" w:after="60"/>
              <w:jc w:val="left"/>
            </w:pPr>
            <w:r>
              <w:rPr>
                <w:rFonts w:ascii="Calibri" w:hAnsi="Calibri"/>
                <w:sz w:val="20"/>
              </w:rPr>
              <w:t>49.3% probability of chlorine dropping below 0.5 mg/L</w:t>
            </w:r>
          </w:p>
        </w:tc>
      </w:tr>
      <w:tr>
        <w:tc>
          <w:tcPr>
            <w:tcW w:type="dxa" w:w="4320"/>
          </w:tcPr>
          <w:p>
            <w:pPr>
              <w:spacing w:before="60" w:after="60"/>
              <w:jc w:val="left"/>
            </w:pPr>
            <w:r>
              <w:rPr>
                <w:rFonts w:ascii="Calibri" w:hAnsi="Calibri"/>
                <w:sz w:val="20"/>
              </w:rPr>
              <w:t>Recommended Visit</w:t>
            </w:r>
          </w:p>
        </w:tc>
        <w:tc>
          <w:tcPr>
            <w:tcW w:type="dxa" w:w="4320"/>
          </w:tcPr>
          <w:p>
            <w:pPr>
              <w:spacing w:before="60" w:after="60"/>
              <w:jc w:val="left"/>
            </w:pPr>
            <w:r>
              <w:rPr>
                <w:rFonts w:ascii="Calibri" w:hAnsi="Calibri"/>
                <w:sz w:val="20"/>
              </w:rPr>
              <w:t>6 days — Immediate</w:t>
            </w:r>
          </w:p>
        </w:tc>
      </w:tr>
      <w:tr>
        <w:tc>
          <w:tcPr>
            <w:tcW w:type="dxa" w:w="4320"/>
            <w:shd w:fill="F5F7FA" w:val="clear"/>
          </w:tcPr>
          <w:p>
            <w:pPr>
              <w:spacing w:before="60" w:after="60"/>
              <w:jc w:val="left"/>
            </w:pPr>
            <w:r>
              <w:rPr>
                <w:rFonts w:ascii="Calibri" w:hAnsi="Calibri"/>
                <w:sz w:val="20"/>
              </w:rPr>
              <w:t>Chemical Prescription</w:t>
            </w:r>
          </w:p>
        </w:tc>
        <w:tc>
          <w:tcPr>
            <w:tcW w:type="dxa" w:w="4320"/>
            <w:shd w:fill="F5F7FA" w:val="clear"/>
          </w:tcPr>
          <w:p>
            <w:pPr>
              <w:spacing w:before="60" w:after="60"/>
              <w:jc w:val="left"/>
            </w:pPr>
            <w:r>
              <w:rPr>
                <w:rFonts w:ascii="Calibri" w:hAnsi="Calibri"/>
                <w:sz w:val="20"/>
              </w:rPr>
              <w:t>Bring sodium hypochlorite 15%; monitor chlorine trend</w:t>
            </w:r>
          </w:p>
        </w:tc>
      </w:tr>
      <w:tr>
        <w:tc>
          <w:tcPr>
            <w:tcW w:type="dxa" w:w="4320"/>
          </w:tcPr>
          <w:p>
            <w:pPr>
              <w:spacing w:before="60" w:after="60"/>
              <w:jc w:val="left"/>
            </w:pPr>
          </w:p>
        </w:tc>
        <w:tc>
          <w:tcPr>
            <w:tcW w:type="dxa" w:w="4320"/>
          </w:tcPr>
          <w:p>
            <w:pPr>
              <w:spacing w:before="60" w:after="60"/>
              <w:jc w:val="left"/>
            </w:pPr>
          </w:p>
        </w:tc>
      </w:tr>
    </w:tbl>
    <w:p>
      <w:pPr>
        <w:pStyle w:val="Heading1"/>
      </w:pPr>
      <w:r>
        <w:t>8. Recommended Next Steps</w:t>
      </w:r>
    </w:p>
    <w:p>
      <w:r>
        <w:t>To move from prototype to production, we recommend the following phases:</w:t>
      </w:r>
    </w:p>
    <w:p>
      <w:pPr>
        <w:pStyle w:val="Heading3"/>
      </w:pPr>
      <w:r>
        <w:t>Phase 1: Data Quality (1–2 months)</w:t>
      </w:r>
    </w:p>
    <w:p>
      <w:pPr>
        <w:pStyle w:val="ListBullet"/>
      </w:pPr>
      <w:r>
        <w:t>Collect pool volume and surface area for all pools currently using fleet-median estimates.</w:t>
      </w:r>
    </w:p>
    <w:p>
      <w:pPr>
        <w:pStyle w:val="ListBullet"/>
      </w:pPr>
      <w:r>
        <w:t>Standardize data entry to reduce measurement variability across technicians.</w:t>
      </w:r>
    </w:p>
    <w:p>
      <w:pPr>
        <w:pStyle w:val="ListBullet"/>
      </w:pPr>
      <w:r>
        <w:t>Integrate weather data (temperature, UV index) from public meteorological APIs — this is expected to improve chlorine predictions the most.</w:t>
      </w:r>
    </w:p>
    <w:p>
      <w:pPr>
        <w:pStyle w:val="Heading3"/>
      </w:pPr>
      <w:r>
        <w:t>Phase 2: Deployment (2–3 months)</w:t>
      </w:r>
    </w:p>
    <w:p>
      <w:pPr>
        <w:pStyle w:val="ListBullet"/>
      </w:pPr>
      <w:r>
        <w:t>Deploy the model as a cloud-hosted API that receives each day's readings and returns visit recommendations and prescriptions.</w:t>
      </w:r>
    </w:p>
    <w:p>
      <w:pPr>
        <w:pStyle w:val="ListBullet"/>
      </w:pPr>
      <w:r>
        <w:t>Build a technician-facing mobile app or integrate with existing route-planning software.</w:t>
      </w:r>
    </w:p>
    <w:p>
      <w:pPr>
        <w:pStyle w:val="ListBullet"/>
      </w:pPr>
      <w:r>
        <w:t>Set up automated retraining (monthly) as new data accumulates.</w:t>
      </w:r>
    </w:p>
    <w:p>
      <w:pPr>
        <w:pStyle w:val="ListBullet"/>
      </w:pPr>
      <w:r>
        <w:t>Implement monitoring dashboards to track prediction accuracy over time.</w:t>
      </w:r>
    </w:p>
    <w:p>
      <w:pPr>
        <w:pStyle w:val="Heading3"/>
      </w:pPr>
      <w:r>
        <w:t>Phase 3: Expansion (3–6 months)</w:t>
      </w:r>
    </w:p>
    <w:p>
      <w:pPr>
        <w:pStyle w:val="ListBullet"/>
      </w:pPr>
      <w:r>
        <w:t>Extend the model to new regions — requires 6+ months of local data for retraining.</w:t>
      </w:r>
    </w:p>
    <w:p>
      <w:pPr>
        <w:pStyle w:val="ListBullet"/>
      </w:pPr>
      <w:r>
        <w:t>Add microbiological monitoring integration (monthly lab tests per RD 742/2013).</w:t>
      </w:r>
    </w:p>
    <w:p>
      <w:pPr>
        <w:pStyle w:val="ListBullet"/>
      </w:pPr>
      <w:r>
        <w:t>Explore anomaly detection for equipment failures and unusual water chemistry events.</w:t>
      </w:r>
    </w:p>
    <w:p>
      <w:pPr>
        <w:pStyle w:val="ListBullet"/>
      </w:pPr>
      <w:r>
        <w:t>Integrate bather load data (if available) to improve chlorine demand forecasting.</w:t>
      </w:r>
    </w:p>
    <w:p/>
    <w:p>
      <w:pPr>
        <w:jc w:val="center"/>
      </w:pPr>
      <w:r>
        <w:rPr>
          <w:color w:val="2C3E6B"/>
        </w:rPr>
        <w:t>━━━━━━━━━━━━━━━━━━━━━━━━━━━━━━━━━━━━━━━━</w:t>
      </w:r>
    </w:p>
    <w:p>
      <w:pPr>
        <w:jc w:val="center"/>
      </w:pPr>
      <w:r>
        <w:rPr>
          <w:color w:val="999999"/>
          <w:sz w:val="18"/>
        </w:rPr>
        <w:t>Report generated July 01,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C3E6B"/>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