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0F2C59"/>
          <w:sz w:val="52"/>
        </w:rPr>
        <w:t>SPAIN (ALICANTE) COLLECTIVE-USE POOLS</w:t>
      </w:r>
    </w:p>
    <w:p>
      <w:pPr>
        <w:spacing w:before="0" w:after="560"/>
        <w:jc w:val="center"/>
      </w:pPr>
      <w:r>
        <w:rPr>
          <w:rFonts w:ascii="Calibri" w:hAnsi="Calibri"/>
          <w:color w:val="64748B"/>
          <w:sz w:val="26"/>
        </w:rPr>
        <w:t>Predictive Maintenance, Physical Kinetics Rate Integration, Automated Chemical Dosing, and Fleet Operations System (Version 6.0)</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rPr>
          <w:tblHeader/>
        </w:trPr>
        <w:tc>
          <w:tcPr>
            <w:tcW w:type="dxa" w:w="3168"/>
            <w:shd w:fill="0F2C59"/>
            <w:tcMar>
              <w:top w:w="100" w:type="dxa"/>
              <w:bottom w:w="100" w:type="dxa"/>
              <w:left w:w="120" w:type="dxa"/>
              <w:right w:w="120" w:type="dxa"/>
            </w:tcMar>
          </w:tcPr>
          <w:p>
            <w:pPr>
              <w:spacing w:before="0" w:after="0" w:line="240" w:lineRule="auto"/>
            </w:pPr>
            <w:r>
              <w:rPr>
                <w:rFonts w:ascii="Calibri" w:hAnsi="Calibri"/>
                <w:b/>
                <w:color w:val="FFFFFF"/>
                <w:sz w:val="19"/>
              </w:rPr>
              <w:t>Document Attribute</w:t>
            </w:r>
          </w:p>
        </w:tc>
        <w:tc>
          <w:tcPr>
            <w:tcW w:type="dxa" w:w="6192"/>
            <w:shd w:fill="0F2C59"/>
            <w:tcMar>
              <w:top w:w="100" w:type="dxa"/>
              <w:bottom w:w="100" w:type="dxa"/>
              <w:left w:w="120" w:type="dxa"/>
              <w:right w:w="120" w:type="dxa"/>
            </w:tcMar>
          </w:tcPr>
          <w:p>
            <w:pPr>
              <w:spacing w:before="0" w:after="0" w:line="240" w:lineRule="auto"/>
            </w:pPr>
            <w:r>
              <w:rPr>
                <w:rFonts w:ascii="Calibri" w:hAnsi="Calibri"/>
                <w:b/>
                <w:color w:val="FFFFFF"/>
                <w:sz w:val="19"/>
              </w:rPr>
              <w:t>Specification &amp; Implementation Details</w:t>
            </w:r>
          </w:p>
        </w:tc>
      </w:tr>
      <w:tr>
        <w:tc>
          <w:tcPr>
            <w:tcW w:type="dxa" w:w="3168"/>
            <w:tcMar>
              <w:top w:w="80" w:type="dxa"/>
              <w:bottom w:w="80" w:type="dxa"/>
              <w:left w:w="120" w:type="dxa"/>
              <w:right w:w="120" w:type="dxa"/>
            </w:tcMar>
          </w:tcPr>
          <w:p>
            <w:pPr>
              <w:spacing w:before="0" w:after="0" w:line="252" w:lineRule="auto"/>
            </w:pPr>
            <w:r>
              <w:rPr>
                <w:rFonts w:ascii="Calibri" w:hAnsi="Calibri"/>
                <w:color w:val="1E293B"/>
                <w:sz w:val="18"/>
              </w:rPr>
              <w:t>System Version</w:t>
            </w:r>
          </w:p>
        </w:tc>
        <w:tc>
          <w:tcPr>
            <w:tcW w:type="dxa" w:w="6192"/>
            <w:tcMar>
              <w:top w:w="80" w:type="dxa"/>
              <w:bottom w:w="80" w:type="dxa"/>
              <w:left w:w="120" w:type="dxa"/>
              <w:right w:w="120" w:type="dxa"/>
            </w:tcMar>
          </w:tcPr>
          <w:p>
            <w:pPr>
              <w:spacing w:before="0" w:after="0" w:line="252" w:lineRule="auto"/>
            </w:pPr>
            <w:r>
              <w:rPr>
                <w:rFonts w:ascii="Calibri" w:hAnsi="Calibri"/>
                <w:color w:val="1E293B"/>
                <w:sz w:val="18"/>
              </w:rPr>
              <w:t>Version 6.0 (Post-Treatment Setpoint Re-Anchor &amp; Hybrid Physics Architecture)</w:t>
            </w:r>
          </w:p>
        </w:tc>
      </w:tr>
      <w:tr>
        <w:tc>
          <w:tcPr>
            <w:tcW w:type="dxa" w:w="3168"/>
            <w:shd w:fill="F8FAFC"/>
            <w:tcMar>
              <w:top w:w="80" w:type="dxa"/>
              <w:bottom w:w="80" w:type="dxa"/>
              <w:left w:w="120" w:type="dxa"/>
              <w:right w:w="120" w:type="dxa"/>
            </w:tcMar>
          </w:tcPr>
          <w:p>
            <w:pPr>
              <w:spacing w:before="0" w:after="0" w:line="252" w:lineRule="auto"/>
            </w:pPr>
            <w:r>
              <w:rPr>
                <w:rFonts w:ascii="Calibri" w:hAnsi="Calibri"/>
                <w:color w:val="1E293B"/>
                <w:sz w:val="18"/>
              </w:rPr>
              <w:t>Target Region &amp; Coordinates</w:t>
            </w:r>
          </w:p>
        </w:tc>
        <w:tc>
          <w:tcPr>
            <w:tcW w:type="dxa" w:w="6192"/>
            <w:shd w:fill="F8FAFC"/>
            <w:tcMar>
              <w:top w:w="80" w:type="dxa"/>
              <w:bottom w:w="80" w:type="dxa"/>
              <w:left w:w="120" w:type="dxa"/>
              <w:right w:w="120" w:type="dxa"/>
            </w:tcMar>
          </w:tcPr>
          <w:p>
            <w:pPr>
              <w:spacing w:before="0" w:after="0" w:line="252" w:lineRule="auto"/>
            </w:pPr>
            <w:r>
              <w:rPr>
                <w:rFonts w:ascii="Calibri" w:hAnsi="Calibri"/>
                <w:color w:val="1E293B"/>
                <w:sz w:val="18"/>
              </w:rPr>
              <w:t>Alicante, Spain (Latitude: 38.3452° N, Longitude: -0.4815° W)</w:t>
            </w:r>
          </w:p>
        </w:tc>
      </w:tr>
      <w:tr>
        <w:tc>
          <w:tcPr>
            <w:tcW w:type="dxa" w:w="3168"/>
            <w:tcMar>
              <w:top w:w="80" w:type="dxa"/>
              <w:bottom w:w="80" w:type="dxa"/>
              <w:left w:w="120" w:type="dxa"/>
              <w:right w:w="120" w:type="dxa"/>
            </w:tcMar>
          </w:tcPr>
          <w:p>
            <w:pPr>
              <w:spacing w:before="0" w:after="0" w:line="252" w:lineRule="auto"/>
            </w:pPr>
            <w:r>
              <w:rPr>
                <w:rFonts w:ascii="Calibri" w:hAnsi="Calibri"/>
                <w:color w:val="1E293B"/>
                <w:sz w:val="18"/>
              </w:rPr>
              <w:t>Regulatory Framework</w:t>
            </w:r>
          </w:p>
        </w:tc>
        <w:tc>
          <w:tcPr>
            <w:tcW w:type="dxa" w:w="6192"/>
            <w:tcMar>
              <w:top w:w="80" w:type="dxa"/>
              <w:bottom w:w="80" w:type="dxa"/>
              <w:left w:w="120" w:type="dxa"/>
              <w:right w:w="120" w:type="dxa"/>
            </w:tcMar>
          </w:tcPr>
          <w:p>
            <w:pPr>
              <w:spacing w:before="0" w:after="0" w:line="252" w:lineRule="auto"/>
            </w:pPr>
            <w:r>
              <w:rPr>
                <w:rFonts w:ascii="Calibri" w:hAnsi="Calibri"/>
                <w:color w:val="1E293B"/>
                <w:sz w:val="18"/>
              </w:rPr>
              <w:t>Real Decreto 742/2013 (National) &amp; Decreto 85/2018 (Comunitat Valenciana)</w:t>
            </w:r>
          </w:p>
        </w:tc>
      </w:tr>
      <w:tr>
        <w:tc>
          <w:tcPr>
            <w:tcW w:type="dxa" w:w="3168"/>
            <w:shd w:fill="F8FAFC"/>
            <w:tcMar>
              <w:top w:w="80" w:type="dxa"/>
              <w:bottom w:w="80" w:type="dxa"/>
              <w:left w:w="120" w:type="dxa"/>
              <w:right w:w="120" w:type="dxa"/>
            </w:tcMar>
          </w:tcPr>
          <w:p>
            <w:pPr>
              <w:spacing w:before="0" w:after="0" w:line="252" w:lineRule="auto"/>
            </w:pPr>
            <w:r>
              <w:rPr>
                <w:rFonts w:ascii="Calibri" w:hAnsi="Calibri"/>
                <w:color w:val="1E293B"/>
                <w:sz w:val="18"/>
              </w:rPr>
              <w:t>Core Technology Stack</w:t>
            </w:r>
          </w:p>
        </w:tc>
        <w:tc>
          <w:tcPr>
            <w:tcW w:type="dxa" w:w="6192"/>
            <w:shd w:fill="F8FAFC"/>
            <w:tcMar>
              <w:top w:w="80" w:type="dxa"/>
              <w:bottom w:w="80" w:type="dxa"/>
              <w:left w:w="120" w:type="dxa"/>
              <w:right w:w="120" w:type="dxa"/>
            </w:tcMar>
          </w:tcPr>
          <w:p>
            <w:pPr>
              <w:spacing w:before="0" w:after="0" w:line="252" w:lineRule="auto"/>
            </w:pPr>
            <w:r>
              <w:rPr>
                <w:rFonts w:ascii="Calibri" w:hAnsi="Calibri"/>
                <w:color w:val="1E293B"/>
                <w:sz w:val="18"/>
              </w:rPr>
              <w:t>Python 3.10+, FastAPI, XGBoost 3.2+, PostgreSQL 16, Prisma ORM, React 19, Vite</w:t>
            </w:r>
          </w:p>
        </w:tc>
      </w:tr>
      <w:tr>
        <w:tc>
          <w:tcPr>
            <w:tcW w:type="dxa" w:w="3168"/>
            <w:tcMar>
              <w:top w:w="80" w:type="dxa"/>
              <w:bottom w:w="80" w:type="dxa"/>
              <w:left w:w="120" w:type="dxa"/>
              <w:right w:w="120" w:type="dxa"/>
            </w:tcMar>
          </w:tcPr>
          <w:p>
            <w:pPr>
              <w:spacing w:before="0" w:after="0" w:line="252" w:lineRule="auto"/>
            </w:pPr>
            <w:r>
              <w:rPr>
                <w:rFonts w:ascii="Calibri" w:hAnsi="Calibri"/>
                <w:color w:val="1E293B"/>
                <w:sz w:val="18"/>
              </w:rPr>
              <w:t>Dataset Baseline</w:t>
            </w:r>
          </w:p>
        </w:tc>
        <w:tc>
          <w:tcPr>
            <w:tcW w:type="dxa" w:w="6192"/>
            <w:tcMar>
              <w:top w:w="80" w:type="dxa"/>
              <w:bottom w:w="80" w:type="dxa"/>
              <w:left w:w="120" w:type="dxa"/>
              <w:right w:w="120" w:type="dxa"/>
            </w:tcMar>
          </w:tcPr>
          <w:p>
            <w:pPr>
              <w:spacing w:before="0" w:after="0" w:line="252" w:lineRule="auto"/>
            </w:pPr>
            <w:r>
              <w:rPr>
                <w:rFonts w:ascii="Calibri" w:hAnsi="Calibri"/>
                <w:color w:val="1E293B"/>
                <w:sz w:val="18"/>
              </w:rPr>
              <w:t>42,617 rows (2023–2026) across 135 liquid chlorine dosing pump community pools</w:t>
            </w:r>
          </w:p>
        </w:tc>
      </w:tr>
      <w:tr>
        <w:tc>
          <w:tcPr>
            <w:tcW w:type="dxa" w:w="3168"/>
            <w:shd w:fill="F8FAFC"/>
            <w:tcMar>
              <w:top w:w="80" w:type="dxa"/>
              <w:bottom w:w="80" w:type="dxa"/>
              <w:left w:w="120" w:type="dxa"/>
              <w:right w:w="120" w:type="dxa"/>
            </w:tcMar>
          </w:tcPr>
          <w:p>
            <w:pPr>
              <w:spacing w:before="0" w:after="0" w:line="252" w:lineRule="auto"/>
            </w:pPr>
            <w:r>
              <w:rPr>
                <w:rFonts w:ascii="Calibri" w:hAnsi="Calibri"/>
                <w:color w:val="1E293B"/>
                <w:sz w:val="18"/>
              </w:rPr>
              <w:t>External Intelligence</w:t>
            </w:r>
          </w:p>
        </w:tc>
        <w:tc>
          <w:tcPr>
            <w:tcW w:type="dxa" w:w="6192"/>
            <w:shd w:fill="F8FAFC"/>
            <w:tcMar>
              <w:top w:w="80" w:type="dxa"/>
              <w:bottom w:w="80" w:type="dxa"/>
              <w:left w:w="120" w:type="dxa"/>
              <w:right w:w="120" w:type="dxa"/>
            </w:tcMar>
          </w:tcPr>
          <w:p>
            <w:pPr>
              <w:spacing w:before="0" w:after="0" w:line="252" w:lineRule="auto"/>
            </w:pPr>
            <w:r>
              <w:rPr>
                <w:rFonts w:ascii="Calibri" w:hAnsi="Calibri"/>
                <w:color w:val="1E293B"/>
                <w:sz w:val="18"/>
              </w:rPr>
              <w:t>Open-Meteo High-Resolution UV, Solar Radiation, Temperature &amp; Wind APIs</w:t>
            </w:r>
          </w:p>
        </w:tc>
      </w:tr>
      <w:tr>
        <w:tc>
          <w:tcPr>
            <w:tcW w:type="dxa" w:w="3168"/>
            <w:tcMar>
              <w:top w:w="80" w:type="dxa"/>
              <w:bottom w:w="80" w:type="dxa"/>
              <w:left w:w="120" w:type="dxa"/>
              <w:right w:w="120" w:type="dxa"/>
            </w:tcMar>
          </w:tcPr>
          <w:p>
            <w:pPr>
              <w:spacing w:before="0" w:after="0" w:line="252" w:lineRule="auto"/>
            </w:pPr>
            <w:r>
              <w:rPr>
                <w:rFonts w:ascii="Calibri" w:hAnsi="Calibri"/>
                <w:color w:val="1E293B"/>
                <w:sz w:val="18"/>
              </w:rPr>
              <w:t>Operational Status</w:t>
            </w:r>
          </w:p>
        </w:tc>
        <w:tc>
          <w:tcPr>
            <w:tcW w:type="dxa" w:w="6192"/>
            <w:tcMar>
              <w:top w:w="80" w:type="dxa"/>
              <w:bottom w:w="80" w:type="dxa"/>
              <w:left w:w="120" w:type="dxa"/>
              <w:right w:w="120" w:type="dxa"/>
            </w:tcMar>
          </w:tcPr>
          <w:p>
            <w:pPr>
              <w:spacing w:before="0" w:after="0" w:line="252" w:lineRule="auto"/>
            </w:pPr>
            <w:r>
              <w:rPr>
                <w:rFonts w:ascii="Calibri" w:hAnsi="Calibri"/>
                <w:color w:val="1E293B"/>
                <w:sz w:val="18"/>
              </w:rPr>
              <w:t>Production-Ready with Automated APScheduler Cron Jobs &amp; Web Dashboard</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180" w:type="dxa"/>
              <w:right w:w="180" w:type="dxa"/>
            </w:tcMar>
            <w:tcBorders>
              <w:top w:val="none"/>
              <w:left w:val="single" w:sz="24" w:space="0" w:color="3085C3"/>
              <w:bottom w:val="none"/>
              <w:right w:val="none"/>
            </w:tcBorders>
          </w:tcPr>
          <w:p>
            <w:pPr>
              <w:spacing w:before="40" w:after="60" w:line="276" w:lineRule="auto"/>
            </w:pPr>
            <w:r>
              <w:rPr>
                <w:rFonts w:ascii="Calibri" w:hAnsi="Calibri"/>
                <w:b/>
                <w:color w:val="0F2C59"/>
                <w:sz w:val="21"/>
              </w:rPr>
              <w:t>EXECUTIVE BRIEF FOR ENGINEERING LEADERSHIP &amp; CLIENT OPERATORS</w:t>
              <w:br/>
            </w:r>
            <w:r>
              <w:rPr>
                <w:rFonts w:ascii="Calibri" w:hAnsi="Calibri"/>
                <w:color w:val="1E293B"/>
                <w:sz w:val="20"/>
              </w:rPr>
              <w:t>This document provides the exhaustive, end-to-end technical specification of the Pool Predictive Maintenance System (V6.0). It details every layer of the architecture: raw data ingestion and Spanish header normalization, the client-directed liquid chlorine pump scoping, the physical-kinetics rate integration engine, the 87-feature ML pipeline, the XGBoost next-day regressors, the multi-day chained forecast algorithm, the 525-grid chemical dosing optimizer, the PostgreSQL/Prisma relational schema, the FastAPI REST API, and the React 19 operator dashboard.</w:t>
            </w:r>
          </w:p>
        </w:tc>
      </w:tr>
    </w:tbl>
    <w:p>
      <w:pPr>
        <w:spacing w:before="0" w:after="80"/>
      </w:pPr>
    </w:p>
    <w:p>
      <w:r>
        <w:br w:type="page"/>
      </w:r>
    </w:p>
    <w:p>
      <w:pPr>
        <w:keepNext/>
        <w:spacing w:before="440" w:after="160"/>
      </w:pPr>
      <w:r>
        <w:rPr>
          <w:rFonts w:ascii="Calibri" w:hAnsi="Calibri"/>
          <w:b/>
          <w:color w:val="0F2C59"/>
          <w:sz w:val="36"/>
        </w:rPr>
        <w:t>1. Problem Domain, Regulatory Grounding &amp; Spanish Mediterranean Realities</w:t>
      </w:r>
    </w:p>
    <w:p>
      <w:pPr>
        <w:keepNext/>
        <w:spacing w:before="320" w:after="120"/>
      </w:pPr>
      <w:r>
        <w:rPr>
          <w:rFonts w:ascii="Calibri" w:hAnsi="Calibri"/>
          <w:b/>
          <w:color w:val="3085C3"/>
          <w:sz w:val="28"/>
        </w:rPr>
        <w:t>1.1 The Operational Challenge in Collective-Use Pools</w:t>
      </w:r>
    </w:p>
    <w:p>
      <w:pPr>
        <w:spacing w:before="40" w:after="100" w:line="276" w:lineRule="auto"/>
      </w:pPr>
      <w:r>
        <w:rPr>
          <w:rFonts w:ascii="Calibri" w:hAnsi="Calibri"/>
          <w:i w:val="0"/>
          <w:color w:val="1E293B"/>
          <w:sz w:val="21"/>
        </w:rPr>
        <w:t>In the province of Alicante, Spain, collective-use swimming pools (piscinas de uso colectivo)—installed in residential urbanisations, resort complexes, and hotels—operate under stringent legal requirements and severe environmental stress. Maintaining water quality is critical: inadequate disinfectant levels expose hundreds of daily bathers to microbiological pathogens (such as Pseudomonas aeruginosa and Escherichia coli), while excessive chemical concentrations cause toxic eye, mucosal, and dermal burns.</w:t>
      </w:r>
    </w:p>
    <w:p>
      <w:pPr>
        <w:spacing w:before="40" w:after="100" w:line="276" w:lineRule="auto"/>
      </w:pPr>
      <w:r>
        <w:rPr>
          <w:rFonts w:ascii="Calibri" w:hAnsi="Calibri"/>
          <w:i w:val="0"/>
          <w:color w:val="1E293B"/>
          <w:sz w:val="21"/>
        </w:rPr>
        <w:t>Historically, pool maintenance companies dispatched technicians every 2 to 4 days to perform manual water testing, log readings, and adjust chemical feeder pumps. However, this reactive workflow has severe limitations:</w:t>
      </w:r>
    </w:p>
    <w:p>
      <w:pPr>
        <w:pStyle w:val="ListBullet"/>
        <w:spacing w:before="20" w:after="60" w:line="276" w:lineRule="auto"/>
        <w:ind w:left="360"/>
      </w:pPr>
      <w:r>
        <w:rPr>
          <w:rFonts w:ascii="Calibri" w:hAnsi="Calibri"/>
          <w:b/>
          <w:color w:val="1E293B"/>
          <w:sz w:val="21"/>
        </w:rPr>
        <w:t xml:space="preserve">Inter-Visit Blindspots: </w:t>
      </w:r>
      <w:r>
        <w:rPr>
          <w:rFonts w:ascii="Calibri" w:hAnsi="Calibri"/>
          <w:color w:val="1E293B"/>
          <w:sz w:val="21"/>
        </w:rPr>
        <w:t>Technicians only observe the water state at the exact moment of their visit, leaving 48 to 96 hours of unmonitored degradation between visits.</w:t>
      </w:r>
    </w:p>
    <w:p>
      <w:pPr>
        <w:pStyle w:val="ListBullet"/>
        <w:spacing w:before="20" w:after="60" w:line="276" w:lineRule="auto"/>
        <w:ind w:left="360"/>
      </w:pPr>
      <w:r>
        <w:rPr>
          <w:rFonts w:ascii="Calibri" w:hAnsi="Calibri"/>
          <w:b/>
          <w:color w:val="1E293B"/>
          <w:sz w:val="21"/>
        </w:rPr>
        <w:t xml:space="preserve">Atmospheric Acceleration: </w:t>
      </w:r>
      <w:r>
        <w:rPr>
          <w:rFonts w:ascii="Calibri" w:hAnsi="Calibri"/>
          <w:color w:val="1E293B"/>
          <w:sz w:val="21"/>
        </w:rPr>
        <w:t>Alicante experiences extreme summer solar radiation (&gt;30 MJ/m²) and UV indices (&gt;9.5), causing rapid hypochlorous acid photolysis that can deplete a safe chlorine buffer in hours.</w:t>
      </w:r>
    </w:p>
    <w:p>
      <w:pPr>
        <w:pStyle w:val="ListBullet"/>
        <w:spacing w:before="20" w:after="60" w:line="276" w:lineRule="auto"/>
        <w:ind w:left="360"/>
      </w:pPr>
      <w:r>
        <w:rPr>
          <w:rFonts w:ascii="Calibri" w:hAnsi="Calibri"/>
          <w:b/>
          <w:color w:val="1E293B"/>
          <w:sz w:val="21"/>
        </w:rPr>
        <w:t xml:space="preserve">Heuristic Dosing Inefficiencies: </w:t>
      </w:r>
      <w:r>
        <w:rPr>
          <w:rFonts w:ascii="Calibri" w:hAnsi="Calibri"/>
          <w:color w:val="1E293B"/>
          <w:sz w:val="21"/>
        </w:rPr>
        <w:t>Manual rule-of-thumb pump adjustments lead to erratic swings between under-chlorination hazards and severe chemical over-dosing.</w:t>
      </w:r>
    </w:p>
    <w:p>
      <w:pPr>
        <w:keepNext/>
        <w:spacing w:before="320" w:after="120"/>
      </w:pPr>
      <w:r>
        <w:rPr>
          <w:rFonts w:ascii="Calibri" w:hAnsi="Calibri"/>
          <w:b/>
          <w:color w:val="3085C3"/>
          <w:sz w:val="28"/>
        </w:rPr>
        <w:t>1.2 Spanish Regulatory Framework (Real Decreto 742/2013 &amp; Decreto 85/2018)</w:t>
      </w:r>
    </w:p>
    <w:p>
      <w:pPr>
        <w:spacing w:before="40" w:after="100" w:line="276" w:lineRule="auto"/>
      </w:pPr>
      <w:r>
        <w:rPr>
          <w:rFonts w:ascii="Calibri" w:hAnsi="Calibri"/>
          <w:i w:val="0"/>
          <w:color w:val="1E293B"/>
          <w:sz w:val="21"/>
        </w:rPr>
        <w:t>The system's safety boundaries, headroom calculations, and alarm states are strictly anchored in Spanish national and regional legislation:</w:t>
      </w:r>
    </w:p>
    <w:p>
      <w:pPr>
        <w:pStyle w:val="ListBullet"/>
        <w:spacing w:before="20" w:after="60" w:line="276" w:lineRule="auto"/>
        <w:ind w:left="360"/>
      </w:pPr>
      <w:r>
        <w:rPr>
          <w:rFonts w:ascii="Calibri" w:hAnsi="Calibri"/>
          <w:b/>
          <w:color w:val="1E293B"/>
          <w:sz w:val="21"/>
        </w:rPr>
        <w:t xml:space="preserve">Real Decreto 742/2013 (National Spanish Standard): </w:t>
      </w:r>
      <w:r>
        <w:rPr>
          <w:rFonts w:ascii="Calibri" w:hAnsi="Calibri"/>
          <w:color w:val="1E293B"/>
          <w:sz w:val="21"/>
        </w:rPr>
        <w:t>Establishes mandatory water quality criteria, autocontrol protocols, and corrective action standards for all collective-use pools in Spain.</w:t>
      </w:r>
    </w:p>
    <w:p>
      <w:pPr>
        <w:pStyle w:val="ListBullet"/>
        <w:spacing w:before="20" w:after="60" w:line="276" w:lineRule="auto"/>
        <w:ind w:left="360"/>
      </w:pPr>
      <w:r>
        <w:rPr>
          <w:rFonts w:ascii="Calibri" w:hAnsi="Calibri"/>
          <w:b/>
          <w:color w:val="1E293B"/>
          <w:sz w:val="21"/>
        </w:rPr>
        <w:t xml:space="preserve">Decreto 85/2018 (Comunitat Valenciana): </w:t>
      </w:r>
      <w:r>
        <w:rPr>
          <w:rFonts w:ascii="Calibri" w:hAnsi="Calibri"/>
          <w:color w:val="1E293B"/>
          <w:sz w:val="21"/>
        </w:rPr>
        <w:t>Governs the obligatory daily autocontrol logbook (Libro de Registro de Control del Agua) and inspection criteria in the Valencian Community.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rPr>
        <w:tc>
          <w:tcPr>
            <w:tcW w:type="dxa" w:w="2592"/>
            <w:shd w:fill="0F2C59"/>
            <w:tcMar>
              <w:top w:w="100" w:type="dxa"/>
              <w:bottom w:w="100" w:type="dxa"/>
              <w:left w:w="120" w:type="dxa"/>
              <w:right w:w="120" w:type="dxa"/>
            </w:tcMar>
          </w:tcPr>
          <w:p>
            <w:pPr>
              <w:spacing w:before="0" w:after="0" w:line="240" w:lineRule="auto"/>
            </w:pPr>
            <w:r>
              <w:rPr>
                <w:rFonts w:ascii="Calibri" w:hAnsi="Calibri"/>
                <w:b/>
                <w:color w:val="FFFFFF"/>
                <w:sz w:val="19"/>
              </w:rPr>
              <w:t>Parameter</w:t>
            </w:r>
          </w:p>
        </w:tc>
        <w:tc>
          <w:tcPr>
            <w:tcW w:type="dxa" w:w="2448"/>
            <w:shd w:fill="0F2C59"/>
            <w:tcMar>
              <w:top w:w="100" w:type="dxa"/>
              <w:bottom w:w="100" w:type="dxa"/>
              <w:left w:w="120" w:type="dxa"/>
              <w:right w:w="120" w:type="dxa"/>
            </w:tcMar>
          </w:tcPr>
          <w:p>
            <w:pPr>
              <w:spacing w:before="0" w:after="0" w:line="240" w:lineRule="auto"/>
            </w:pPr>
            <w:r>
              <w:rPr>
                <w:rFonts w:ascii="Calibri" w:hAnsi="Calibri"/>
                <w:b/>
                <w:color w:val="FFFFFF"/>
                <w:sz w:val="19"/>
              </w:rPr>
              <w:t>RD 742/2013 Regulatory Range</w:t>
            </w:r>
          </w:p>
        </w:tc>
        <w:tc>
          <w:tcPr>
            <w:tcW w:type="dxa" w:w="2160"/>
            <w:shd w:fill="0F2C59"/>
            <w:tcMar>
              <w:top w:w="100" w:type="dxa"/>
              <w:bottom w:w="100" w:type="dxa"/>
              <w:left w:w="120" w:type="dxa"/>
              <w:right w:w="120" w:type="dxa"/>
            </w:tcMar>
          </w:tcPr>
          <w:p>
            <w:pPr>
              <w:spacing w:before="0" w:after="0" w:line="240" w:lineRule="auto"/>
            </w:pPr>
            <w:r>
              <w:rPr>
                <w:rFonts w:ascii="Calibri" w:hAnsi="Calibri"/>
                <w:b/>
                <w:color w:val="FFFFFF"/>
                <w:sz w:val="19"/>
              </w:rPr>
              <w:t>Client Optimal Target</w:t>
            </w:r>
          </w:p>
        </w:tc>
        <w:tc>
          <w:tcPr>
            <w:tcW w:type="dxa" w:w="2160"/>
            <w:shd w:fill="0F2C59"/>
            <w:tcMar>
              <w:top w:w="100" w:type="dxa"/>
              <w:bottom w:w="100" w:type="dxa"/>
              <w:left w:w="120" w:type="dxa"/>
              <w:right w:w="120" w:type="dxa"/>
            </w:tcMar>
          </w:tcPr>
          <w:p>
            <w:pPr>
              <w:spacing w:before="0" w:after="0" w:line="240" w:lineRule="auto"/>
            </w:pPr>
            <w:r>
              <w:rPr>
                <w:rFonts w:ascii="Calibri" w:hAnsi="Calibri"/>
                <w:b/>
                <w:color w:val="FFFFFF"/>
                <w:sz w:val="19"/>
              </w:rPr>
              <w:t>Hazard &amp; Breach Actions</w:t>
            </w:r>
          </w:p>
        </w:tc>
      </w:tr>
      <w:tr>
        <w:tc>
          <w:tcPr>
            <w:tcW w:type="dxa" w:w="2592"/>
            <w:tcMar>
              <w:top w:w="80" w:type="dxa"/>
              <w:bottom w:w="80" w:type="dxa"/>
              <w:left w:w="120" w:type="dxa"/>
              <w:right w:w="120" w:type="dxa"/>
            </w:tcMar>
          </w:tcPr>
          <w:p>
            <w:pPr>
              <w:spacing w:before="0" w:after="0" w:line="252" w:lineRule="auto"/>
            </w:pPr>
            <w:r>
              <w:rPr>
                <w:rFonts w:ascii="Calibri" w:hAnsi="Calibri"/>
                <w:color w:val="1E293B"/>
                <w:sz w:val="18"/>
              </w:rPr>
              <w:t>Free Chlorine (Cloro Libre)</w:t>
            </w:r>
          </w:p>
        </w:tc>
        <w:tc>
          <w:tcPr>
            <w:tcW w:type="dxa" w:w="2448"/>
            <w:tcMar>
              <w:top w:w="80" w:type="dxa"/>
              <w:bottom w:w="80" w:type="dxa"/>
              <w:left w:w="120" w:type="dxa"/>
              <w:right w:w="120" w:type="dxa"/>
            </w:tcMar>
          </w:tcPr>
          <w:p>
            <w:pPr>
              <w:spacing w:before="0" w:after="0" w:line="252" w:lineRule="auto"/>
            </w:pPr>
            <w:r>
              <w:rPr>
                <w:rFonts w:ascii="Calibri" w:hAnsi="Calibri"/>
                <w:color w:val="1E293B"/>
                <w:sz w:val="18"/>
              </w:rPr>
              <w:t>0.5 – 2.0 mg/L (ideal upper)</w:t>
            </w:r>
          </w:p>
        </w:tc>
        <w:tc>
          <w:tcPr>
            <w:tcW w:type="dxa" w:w="2160"/>
            <w:tcMar>
              <w:top w:w="80" w:type="dxa"/>
              <w:bottom w:w="80" w:type="dxa"/>
              <w:left w:w="120" w:type="dxa"/>
              <w:right w:w="120" w:type="dxa"/>
            </w:tcMar>
          </w:tcPr>
          <w:p>
            <w:pPr>
              <w:spacing w:before="0" w:after="0" w:line="252" w:lineRule="auto"/>
            </w:pPr>
            <w:r>
              <w:rPr>
                <w:rFonts w:ascii="Calibri" w:hAnsi="Calibri"/>
                <w:color w:val="1E293B"/>
                <w:sz w:val="18"/>
              </w:rPr>
              <w:t>1.0 – 1.5 mg/L (ideal 1.25)</w:t>
            </w:r>
          </w:p>
        </w:tc>
        <w:tc>
          <w:tcPr>
            <w:tcW w:type="dxa" w:w="2160"/>
            <w:tcMar>
              <w:top w:w="80" w:type="dxa"/>
              <w:bottom w:w="80" w:type="dxa"/>
              <w:left w:w="120" w:type="dxa"/>
              <w:right w:w="120" w:type="dxa"/>
            </w:tcMar>
          </w:tcPr>
          <w:p>
            <w:pPr>
              <w:spacing w:before="0" w:after="0" w:line="252" w:lineRule="auto"/>
            </w:pPr>
            <w:r>
              <w:rPr>
                <w:rFonts w:ascii="Calibri" w:hAnsi="Calibri"/>
                <w:color w:val="1E293B"/>
                <w:sz w:val="18"/>
              </w:rPr>
              <w:t>&lt; 0.5 mg/L: Pathogen risk (Immediate Visit 🚨)</w:t>
              <w:br/>
              <w:t>&gt; 5.0 mg/L: Mandatory pool closure (RD 742/2013)</w:t>
            </w:r>
          </w:p>
        </w:tc>
      </w:tr>
      <w:tr>
        <w:tc>
          <w:tcPr>
            <w:tcW w:type="dxa" w:w="2592"/>
            <w:shd w:fill="F8FAFC"/>
            <w:tcMar>
              <w:top w:w="80" w:type="dxa"/>
              <w:bottom w:w="80" w:type="dxa"/>
              <w:left w:w="120" w:type="dxa"/>
              <w:right w:w="120" w:type="dxa"/>
            </w:tcMar>
          </w:tcPr>
          <w:p>
            <w:pPr>
              <w:spacing w:before="0" w:after="0" w:line="252" w:lineRule="auto"/>
            </w:pPr>
            <w:r>
              <w:rPr>
                <w:rFonts w:ascii="Calibri" w:hAnsi="Calibri"/>
                <w:color w:val="1E293B"/>
                <w:sz w:val="18"/>
              </w:rPr>
              <w:t>pH</w:t>
            </w:r>
          </w:p>
        </w:tc>
        <w:tc>
          <w:tcPr>
            <w:tcW w:type="dxa" w:w="2448"/>
            <w:shd w:fill="F8FAFC"/>
            <w:tcMar>
              <w:top w:w="80" w:type="dxa"/>
              <w:bottom w:w="80" w:type="dxa"/>
              <w:left w:w="120" w:type="dxa"/>
              <w:right w:w="120" w:type="dxa"/>
            </w:tcMar>
          </w:tcPr>
          <w:p>
            <w:pPr>
              <w:spacing w:before="0" w:after="0" w:line="252" w:lineRule="auto"/>
            </w:pPr>
            <w:r>
              <w:rPr>
                <w:rFonts w:ascii="Calibri" w:hAnsi="Calibri"/>
                <w:color w:val="1E293B"/>
                <w:sz w:val="18"/>
              </w:rPr>
              <w:t>7.2 – 8.0 pH units</w:t>
            </w:r>
          </w:p>
        </w:tc>
        <w:tc>
          <w:tcPr>
            <w:tcW w:type="dxa" w:w="2160"/>
            <w:shd w:fill="F8FAFC"/>
            <w:tcMar>
              <w:top w:w="80" w:type="dxa"/>
              <w:bottom w:w="80" w:type="dxa"/>
              <w:left w:w="120" w:type="dxa"/>
              <w:right w:w="120" w:type="dxa"/>
            </w:tcMar>
          </w:tcPr>
          <w:p>
            <w:pPr>
              <w:spacing w:before="0" w:after="0" w:line="252" w:lineRule="auto"/>
            </w:pPr>
            <w:r>
              <w:rPr>
                <w:rFonts w:ascii="Calibri" w:hAnsi="Calibri"/>
                <w:color w:val="1E293B"/>
                <w:sz w:val="18"/>
              </w:rPr>
              <w:t>7.2 – 7.8 (ideal 7.4)</w:t>
            </w:r>
          </w:p>
        </w:tc>
        <w:tc>
          <w:tcPr>
            <w:tcW w:type="dxa" w:w="2160"/>
            <w:shd w:fill="F8FAFC"/>
            <w:tcMar>
              <w:top w:w="80" w:type="dxa"/>
              <w:bottom w:w="80" w:type="dxa"/>
              <w:left w:w="120" w:type="dxa"/>
              <w:right w:w="120" w:type="dxa"/>
            </w:tcMar>
          </w:tcPr>
          <w:p>
            <w:pPr>
              <w:spacing w:before="0" w:after="0" w:line="252" w:lineRule="auto"/>
            </w:pPr>
            <w:r>
              <w:rPr>
                <w:rFonts w:ascii="Calibri" w:hAnsi="Calibri"/>
                <w:color w:val="1E293B"/>
                <w:sz w:val="18"/>
              </w:rPr>
              <w:t>&lt; 7.2: Eye/skin irritation, pipe corrosion 🚨</w:t>
              <w:br/>
              <w:t>&gt; 8.0: Scale formation, chlorine inactivation 🚨</w:t>
            </w:r>
          </w:p>
        </w:tc>
      </w:tr>
      <w:tr>
        <w:tc>
          <w:tcPr>
            <w:tcW w:type="dxa" w:w="2592"/>
            <w:tcMar>
              <w:top w:w="80" w:type="dxa"/>
              <w:bottom w:w="80" w:type="dxa"/>
              <w:left w:w="120" w:type="dxa"/>
              <w:right w:w="120" w:type="dxa"/>
            </w:tcMar>
          </w:tcPr>
          <w:p>
            <w:pPr>
              <w:spacing w:before="0" w:after="0" w:line="252" w:lineRule="auto"/>
            </w:pPr>
            <w:r>
              <w:rPr>
                <w:rFonts w:ascii="Calibri" w:hAnsi="Calibri"/>
                <w:color w:val="1E293B"/>
                <w:sz w:val="18"/>
              </w:rPr>
              <w:t>Turbidity (Turbidez)</w:t>
            </w:r>
          </w:p>
        </w:tc>
        <w:tc>
          <w:tcPr>
            <w:tcW w:type="dxa" w:w="2448"/>
            <w:tcMar>
              <w:top w:w="80" w:type="dxa"/>
              <w:bottom w:w="80" w:type="dxa"/>
              <w:left w:w="120" w:type="dxa"/>
              <w:right w:w="120" w:type="dxa"/>
            </w:tcMar>
          </w:tcPr>
          <w:p>
            <w:pPr>
              <w:spacing w:before="0" w:after="0" w:line="252" w:lineRule="auto"/>
            </w:pPr>
            <w:r>
              <w:rPr>
                <w:rFonts w:ascii="Calibri" w:hAnsi="Calibri"/>
                <w:color w:val="1E293B"/>
                <w:sz w:val="18"/>
              </w:rPr>
              <w:t>≤ 5.0 NTU (limit)</w:t>
            </w:r>
          </w:p>
        </w:tc>
        <w:tc>
          <w:tcPr>
            <w:tcW w:type="dxa" w:w="2160"/>
            <w:tcMar>
              <w:top w:w="80" w:type="dxa"/>
              <w:bottom w:w="80" w:type="dxa"/>
              <w:left w:w="120" w:type="dxa"/>
              <w:right w:w="120" w:type="dxa"/>
            </w:tcMar>
          </w:tcPr>
          <w:p>
            <w:pPr>
              <w:spacing w:before="0" w:after="0" w:line="252" w:lineRule="auto"/>
            </w:pPr>
            <w:r>
              <w:rPr>
                <w:rFonts w:ascii="Calibri" w:hAnsi="Calibri"/>
                <w:color w:val="1E293B"/>
                <w:sz w:val="18"/>
              </w:rPr>
              <w:t>≤ 1.0 NTU (ideal ≤ 0.5)</w:t>
            </w:r>
          </w:p>
        </w:tc>
        <w:tc>
          <w:tcPr>
            <w:tcW w:type="dxa" w:w="2160"/>
            <w:tcMar>
              <w:top w:w="80" w:type="dxa"/>
              <w:bottom w:w="80" w:type="dxa"/>
              <w:left w:w="120" w:type="dxa"/>
              <w:right w:w="120" w:type="dxa"/>
            </w:tcMar>
          </w:tcPr>
          <w:p>
            <w:pPr>
              <w:spacing w:before="0" w:after="0" w:line="252" w:lineRule="auto"/>
            </w:pPr>
            <w:r>
              <w:rPr>
                <w:rFonts w:ascii="Calibri" w:hAnsi="Calibri"/>
                <w:color w:val="1E293B"/>
                <w:sz w:val="18"/>
              </w:rPr>
              <w:t>&gt; 5.0 NTU: Cloudiness, filtration failure (Immediate Visit 🚨)</w:t>
            </w:r>
          </w:p>
        </w:tc>
      </w:tr>
    </w:tbl>
    <w:p>
      <w:pPr>
        <w:spacing w:before="0" w:after="120"/>
      </w:pPr>
    </w:p>
    <w:p>
      <w:pPr>
        <w:keepNext/>
        <w:spacing w:before="320" w:after="120"/>
      </w:pPr>
      <w:r>
        <w:rPr>
          <w:rFonts w:ascii="Calibri" w:hAnsi="Calibri"/>
          <w:b/>
          <w:color w:val="3085C3"/>
          <w:sz w:val="28"/>
        </w:rPr>
        <w:t>1.3 The Mediterranean '60% Chlorine Overdose' Phenomenon</w:t>
      </w:r>
    </w:p>
    <w:p>
      <w:pPr>
        <w:spacing w:before="40" w:after="100" w:line="276" w:lineRule="auto"/>
      </w:pPr>
      <w:r>
        <w:rPr>
          <w:rFonts w:ascii="Calibri" w:hAnsi="Calibri"/>
          <w:i w:val="0"/>
          <w:color w:val="1E293B"/>
          <w:sz w:val="21"/>
        </w:rPr>
        <w:t>A critical discovery made during field data validation with Iberpiscinas SLU technicians (led by Jesús Santana) is the intentional Mediterranean Overdosing practice. Due to intense Alicante solar radiation and sudden weekend bather spikes, technicians routinely adjust liquid chlorine dosing pumps to achieve 2.0 to 4.0 mg/L free chlorine upon departure. While 2.0 mg/L is the nominal ideal ceiling under RD 742/2013 Annexe I, Spanish law only mandates pool closure if free chlorine exceeds 5.0 mg/L. The V6 system explicitly accounts for this field practice: levels between 2.0 and 4.0 mg/L are classified as 'Spanish Mediterranean Buffer (Monitor)' rather than immediate emergencies, while optimizing dosing toward the client's sustainable 1.0–1.5 mg/L ideal.</w:t>
      </w:r>
    </w:p>
    <w:p>
      <w:pPr>
        <w:keepNext/>
        <w:spacing w:before="320" w:after="120"/>
      </w:pPr>
      <w:r>
        <w:rPr>
          <w:rFonts w:ascii="Calibri" w:hAnsi="Calibri"/>
          <w:b/>
          <w:color w:val="3085C3"/>
          <w:sz w:val="28"/>
        </w:rPr>
        <w:t>1.4 Pre-Treatment Measurement Reality vs. Post-Treatment Setpoint Assumption</w:t>
      </w:r>
    </w:p>
    <w:tbl>
      <w:tblPr>
        <w:tblW w:type="auto" w:w="0"/>
        <w:jc w:val="center"/>
        <w:tblLook w:firstColumn="1" w:firstRow="1" w:lastColumn="0" w:lastRow="0" w:noHBand="0" w:noVBand="1" w:val="04A0"/>
      </w:tblPr>
      <w:tblGrid>
        <w:gridCol w:w="9360"/>
      </w:tblGrid>
      <w:tr>
        <w:tc>
          <w:tcPr>
            <w:tcW w:type="dxa" w:w="9360"/>
            <w:shd w:fill="FEF2F2"/>
            <w:tcMar>
              <w:top w:w="140" w:type="dxa"/>
              <w:bottom w:w="140" w:type="dxa"/>
              <w:left w:w="180" w:type="dxa"/>
              <w:right w:w="180" w:type="dxa"/>
            </w:tcMar>
            <w:tcBorders>
              <w:top w:val="none"/>
              <w:left w:val="single" w:sz="24" w:space="0" w:color="DC2626"/>
              <w:bottom w:val="none"/>
              <w:right w:val="none"/>
            </w:tcBorders>
          </w:tcPr>
          <w:p>
            <w:pPr>
              <w:spacing w:before="40" w:after="60" w:line="276" w:lineRule="auto"/>
            </w:pPr>
            <w:r>
              <w:rPr>
                <w:rFonts w:ascii="Calibri" w:hAnsi="Calibri"/>
                <w:b/>
                <w:color w:val="DC2626"/>
                <w:sz w:val="21"/>
              </w:rPr>
              <w:t>[IMPORTANT] CORE METHODOLOGICAL INNOVATION: THE POST-TREATMENT SETPOINT RE-ANCHOR</w:t>
              <w:br/>
            </w:r>
            <w:r>
              <w:rPr>
                <w:rFonts w:ascii="Calibri" w:hAnsi="Calibri"/>
                <w:color w:val="1E293B"/>
                <w:sz w:val="20"/>
              </w:rPr>
              <w:t>Field inspection records in commercial pool maintenance reflect PRE-TREATMENT water states. When a technician arrives, they measure the degraded water resulting from the previous inter-visit gap, record the numbers, and then add chemicals or adjust pumps to restore ideal balance. Water degradation therefore evolves FROM the post-treatment state, not from the degraded pre-treatment reading.</w:t>
              <w:br/>
              <w:br/>
              <w:t>In V6.0, the pipeline anchors synthetic targets and inference kinetics to a configurable post-treatment setpoint (Free Cl: 2.5 mg/L, pH: 7.4, Turbidity: 0.5 NTU). This eliminated artificial R² inflation from lag-copying and lowered true Free Chlorine Mean Absolute Error (MAE) from 0.26 to 0.1972 mg/L.</w:t>
            </w:r>
          </w:p>
        </w:tc>
      </w:tr>
    </w:tbl>
    <w:p>
      <w:pPr>
        <w:spacing w:before="0" w:after="80"/>
      </w:pPr>
    </w:p>
    <w:p>
      <w:pPr>
        <w:keepNext/>
        <w:spacing w:before="440" w:after="160"/>
      </w:pPr>
      <w:r>
        <w:rPr>
          <w:rFonts w:ascii="Calibri" w:hAnsi="Calibri"/>
          <w:b/>
          <w:color w:val="0F2C59"/>
          <w:sz w:val="36"/>
        </w:rPr>
        <w:t>2. Dataset Architecture, Target Fleet Scoping &amp; Data Ingestion</w:t>
      </w:r>
    </w:p>
    <w:p>
      <w:pPr>
        <w:keepNext/>
        <w:spacing w:before="320" w:after="120"/>
      </w:pPr>
      <w:r>
        <w:rPr>
          <w:rFonts w:ascii="Calibri" w:hAnsi="Calibri"/>
          <w:b/>
          <w:color w:val="3085C3"/>
          <w:sz w:val="28"/>
        </w:rPr>
        <w:t>2.1 Raw Dataset Composition</w:t>
      </w:r>
    </w:p>
    <w:p>
      <w:pPr>
        <w:spacing w:before="40" w:after="100" w:line="276" w:lineRule="auto"/>
      </w:pPr>
      <w:r>
        <w:rPr>
          <w:rFonts w:ascii="Calibri" w:hAnsi="Calibri"/>
          <w:i w:val="0"/>
          <w:color w:val="1E293B"/>
          <w:sz w:val="21"/>
        </w:rPr>
        <w:t>The raw operational data originated from Pepe Gutiérrez's SPP System maintenance database in Alicante, consolidated into 'data/Merged_2023_2026.xlsx'. The dataset spans January 2, 2023 through August 5, 2026, comprising 42,617 raw rows across 61 denormalized columns.</w:t>
      </w:r>
    </w:p>
    <w:p>
      <w:pPr>
        <w:spacing w:before="40" w:after="100" w:line="276" w:lineRule="auto"/>
      </w:pPr>
      <w:r>
        <w:rPr>
          <w:rFonts w:ascii="Calibri" w:hAnsi="Calibri"/>
          <w:i w:val="0"/>
          <w:color w:val="1E293B"/>
          <w:sz w:val="21"/>
        </w:rPr>
        <w:t>Each row in the master sheet represents three operational sub-tables logged side-by-side:</w:t>
      </w:r>
    </w:p>
    <w:p>
      <w:pPr>
        <w:pStyle w:val="ListBullet"/>
        <w:spacing w:before="20" w:after="60" w:line="276" w:lineRule="auto"/>
        <w:ind w:left="360"/>
      </w:pPr>
      <w:r>
        <w:rPr>
          <w:rFonts w:ascii="Calibri" w:hAnsi="Calibri"/>
          <w:b/>
          <w:color w:val="1E293B"/>
          <w:sz w:val="21"/>
        </w:rPr>
        <w:t xml:space="preserve">Sub-Table 1 (Water Quality Readings): </w:t>
      </w:r>
      <w:r>
        <w:rPr>
          <w:rFonts w:ascii="Calibri" w:hAnsi="Calibri"/>
          <w:color w:val="1E293B"/>
          <w:sz w:val="21"/>
        </w:rPr>
        <w:t>Pool ID, community name, timestamp, technician, measured pH, free chlorine, turbidity, and physical dimensions.</w:t>
      </w:r>
    </w:p>
    <w:p>
      <w:pPr>
        <w:pStyle w:val="ListBullet"/>
        <w:spacing w:before="20" w:after="60" w:line="276" w:lineRule="auto"/>
        <w:ind w:left="360"/>
      </w:pPr>
      <w:r>
        <w:rPr>
          <w:rFonts w:ascii="Calibri" w:hAnsi="Calibri"/>
          <w:b/>
          <w:color w:val="1E293B"/>
          <w:sz w:val="21"/>
        </w:rPr>
        <w:t xml:space="preserve">Sub-Table 2 (Equipment Operations): </w:t>
      </w:r>
      <w:r>
        <w:rPr>
          <w:rFonts w:ascii="Calibri" w:hAnsi="Calibri"/>
          <w:color w:val="1E293B"/>
          <w:sz w:val="21"/>
        </w:rPr>
        <w:t>Dosing pump hours, filtration run hours, hypochlorite dosing %, pH dosing %, and water temperature.</w:t>
      </w:r>
    </w:p>
    <w:p>
      <w:pPr>
        <w:pStyle w:val="ListBullet"/>
        <w:spacing w:before="20" w:after="60" w:line="276" w:lineRule="auto"/>
        <w:ind w:left="360"/>
      </w:pPr>
      <w:r>
        <w:rPr>
          <w:rFonts w:ascii="Calibri" w:hAnsi="Calibri"/>
          <w:b/>
          <w:color w:val="1E293B"/>
          <w:sz w:val="21"/>
        </w:rPr>
        <w:t xml:space="preserve">Sub-Table 3 (Applied Chemical Products): </w:t>
      </w:r>
      <w:r>
        <w:rPr>
          <w:rFonts w:ascii="Calibri" w:hAnsi="Calibri"/>
          <w:color w:val="1E293B"/>
          <w:sz w:val="21"/>
        </w:rPr>
        <w:t>Granular/liquid hypochlorite (kg), pH minus liquid/granules (kg), and clarifiers/flocculants (tablets/sticks).</w:t>
      </w:r>
    </w:p>
    <w:p>
      <w:pPr>
        <w:keepNext/>
        <w:spacing w:before="320" w:after="120"/>
      </w:pPr>
      <w:r>
        <w:rPr>
          <w:rFonts w:ascii="Calibri" w:hAnsi="Calibri"/>
          <w:b/>
          <w:color w:val="3085C3"/>
          <w:sz w:val="28"/>
        </w:rPr>
        <w:t>2.2 Liquid Chlorine Dosing Pump Scoping</w:t>
      </w:r>
    </w:p>
    <w:p>
      <w:pPr>
        <w:spacing w:before="40" w:after="100" w:line="276" w:lineRule="auto"/>
      </w:pPr>
      <w:r>
        <w:rPr>
          <w:rFonts w:ascii="Calibri" w:hAnsi="Calibri"/>
          <w:i w:val="0"/>
          <w:color w:val="1E293B"/>
          <w:sz w:val="21"/>
        </w:rPr>
        <w:t>Per client requirements, predictive modeling is scoped exclusively to community pools equipped with automated liquid chlorine dosing pumps. The reference registry 'data/Listado_piscinas_bomba_cloro.xlsx' lists 138 qualifying installations.</w:t>
      </w:r>
    </w:p>
    <w:p>
      <w:pPr>
        <w:pStyle w:val="ListBullet"/>
        <w:spacing w:before="20" w:after="60" w:line="276" w:lineRule="auto"/>
        <w:ind w:left="360"/>
      </w:pPr>
      <w:r>
        <w:rPr>
          <w:rFonts w:ascii="Calibri" w:hAnsi="Calibri"/>
          <w:b/>
          <w:color w:val="1E293B"/>
          <w:sz w:val="21"/>
        </w:rPr>
        <w:t xml:space="preserve">Primary Exact Reference Match: </w:t>
      </w:r>
      <w:r>
        <w:rPr>
          <w:rFonts w:ascii="Calibri" w:hAnsi="Calibri"/>
          <w:color w:val="1E293B"/>
          <w:sz w:val="21"/>
        </w:rPr>
        <w:t>126 pools were matched unambiguously by extracting the numeric reference enclosed in parentheses (e.g., 'Cabo Verde (19)' -&gt; '19').</w:t>
      </w:r>
    </w:p>
    <w:p>
      <w:pPr>
        <w:pStyle w:val="ListBullet"/>
        <w:spacing w:before="20" w:after="60" w:line="276" w:lineRule="auto"/>
        <w:ind w:left="360"/>
      </w:pPr>
      <w:r>
        <w:rPr>
          <w:rFonts w:ascii="Calibri" w:hAnsi="Calibri"/>
          <w:b/>
          <w:color w:val="1E293B"/>
          <w:sz w:val="21"/>
        </w:rPr>
        <w:t xml:space="preserve">Secondary Fuzzy Community Match: </w:t>
      </w:r>
      <w:r>
        <w:rPr>
          <w:rFonts w:ascii="Calibri" w:hAnsi="Calibri"/>
          <w:color w:val="1E293B"/>
          <w:sz w:val="21"/>
        </w:rPr>
        <w:t>9 compound or multi-pool community entries (e.g., '654-655') were resolved through normalized substring community reconciliation.</w:t>
      </w:r>
    </w:p>
    <w:p>
      <w:pPr>
        <w:pStyle w:val="ListBullet"/>
        <w:spacing w:before="20" w:after="60" w:line="276" w:lineRule="auto"/>
        <w:ind w:left="360"/>
      </w:pPr>
      <w:r>
        <w:rPr>
          <w:rFonts w:ascii="Calibri" w:hAnsi="Calibri"/>
          <w:b/>
          <w:color w:val="1E293B"/>
          <w:sz w:val="21"/>
        </w:rPr>
        <w:t xml:space="preserve">Final Scoped Fleet: </w:t>
      </w:r>
      <w:r>
        <w:rPr>
          <w:rFonts w:ascii="Calibri" w:hAnsi="Calibri"/>
          <w:color w:val="1E293B"/>
          <w:sz w:val="21"/>
        </w:rPr>
        <w:t>135 active qualifying pools representing 38,362 validated reading rows are retained in the master dataset. Non-qualifying pools (~4,255 rows) are safely filtered out.</w:t>
      </w:r>
    </w:p>
    <w:p>
      <w:pPr>
        <w:keepNext/>
        <w:spacing w:before="320" w:after="120"/>
      </w:pPr>
      <w:r>
        <w:rPr>
          <w:rFonts w:ascii="Calibri" w:hAnsi="Calibri"/>
          <w:b/>
          <w:color w:val="3085C3"/>
          <w:sz w:val="28"/>
        </w:rPr>
        <w:t>2.3 Column Normalization &amp; Multi-Visit Deduplication</w:t>
      </w:r>
    </w:p>
    <w:p>
      <w:pPr>
        <w:spacing w:before="40" w:after="100" w:line="276" w:lineRule="auto"/>
      </w:pPr>
      <w:r>
        <w:rPr>
          <w:rFonts w:ascii="Calibri" w:hAnsi="Calibri"/>
          <w:i w:val="0"/>
          <w:color w:val="1E293B"/>
          <w:sz w:val="21"/>
        </w:rPr>
        <w:t>1. Spanish Column Header Mapping: The pipeline maps 56 raw Spanish column names into standardized snake_case identifiers using a static dictionary (RENAME_MAP) in 'ml/config.py', ensuring total resilience against column reordering in Excel exports.</w:t>
      </w:r>
    </w:p>
    <w:p>
      <w:pPr>
        <w:spacing w:before="40" w:after="100" w:line="276" w:lineRule="auto"/>
      </w:pPr>
      <w:r>
        <w:rPr>
          <w:rFonts w:ascii="Calibri" w:hAnsi="Calibri"/>
          <w:i w:val="0"/>
          <w:color w:val="1E293B"/>
          <w:sz w:val="21"/>
        </w:rPr>
        <w:t>2. Multi-Visit Day Deduplication: When multiple visits occur on the same calendar day for a single pool (1,061 historical instances), the pipeline preserves the LAST visit of the day as the official end-of-day pool state. To preserve operational incident history, a binary flag 'multi_visit_day = 1' is generated and passed into the feature engine.</w:t>
      </w:r>
    </w:p>
    <w:p>
      <w:pPr>
        <w:keepNext/>
        <w:spacing w:before="320" w:after="120"/>
      </w:pPr>
      <w:r>
        <w:rPr>
          <w:rFonts w:ascii="Calibri" w:hAnsi="Calibri"/>
          <w:b/>
          <w:color w:val="3085C3"/>
          <w:sz w:val="28"/>
        </w:rPr>
        <w:t>2.4 Static Pool Metadata Backfilling &amp; Fleet Imputation</w:t>
      </w:r>
    </w:p>
    <w:p>
      <w:pPr>
        <w:spacing w:before="40" w:after="100" w:line="276" w:lineRule="auto"/>
      </w:pPr>
      <w:r>
        <w:rPr>
          <w:rFonts w:ascii="Calibri" w:hAnsi="Calibri"/>
          <w:i w:val="0"/>
          <w:color w:val="1E293B"/>
          <w:sz w:val="21"/>
        </w:rPr>
        <w:t>Physical pool characteristics (volume m³, surface area m², filter diameter mm, filter count, motor count) suffered from &gt;50% missingness in raw logging. Because physical dimensions are static properties of each pool, the pipeline implements a two-stage backfilling strategy:</w:t>
      </w:r>
    </w:p>
    <w:p>
      <w:pPr>
        <w:pStyle w:val="ListBullet"/>
        <w:spacing w:before="20" w:after="60" w:line="276" w:lineRule="auto"/>
        <w:ind w:left="360"/>
      </w:pPr>
      <w:r>
        <w:rPr>
          <w:rFonts w:ascii="Calibri" w:hAnsi="Calibri"/>
          <w:b/>
          <w:color w:val="1E293B"/>
          <w:sz w:val="21"/>
        </w:rPr>
        <w:t xml:space="preserve">Stage 1 (Per-Pool Forward/Backward Fill): </w:t>
      </w:r>
      <w:r>
        <w:rPr>
          <w:rFonts w:ascii="Calibri" w:hAnsi="Calibri"/>
          <w:color w:val="1E293B"/>
          <w:sz w:val="21"/>
        </w:rPr>
        <w:t>Extracts the maximum non-null recorded dimension for that specific pool ID across all historical records.</w:t>
      </w:r>
    </w:p>
    <w:p>
      <w:pPr>
        <w:pStyle w:val="ListBullet"/>
        <w:spacing w:before="20" w:after="60" w:line="276" w:lineRule="auto"/>
        <w:ind w:left="360"/>
      </w:pPr>
      <w:r>
        <w:rPr>
          <w:rFonts w:ascii="Calibri" w:hAnsi="Calibri"/>
          <w:b/>
          <w:color w:val="1E293B"/>
          <w:sz w:val="21"/>
        </w:rPr>
        <w:t xml:space="preserve">Stage 2 (Fleet-Wide Median Imputation): </w:t>
      </w:r>
      <w:r>
        <w:rPr>
          <w:rFonts w:ascii="Calibri" w:hAnsi="Calibri"/>
          <w:color w:val="1E293B"/>
          <w:sz w:val="21"/>
        </w:rPr>
        <w:t>For pools lacking any dimension record, backfills the fleet-wide median (median volume: 225.0 m³, median surface area: 157.5 m², filter diameter: 900.0 mm).</w:t>
      </w:r>
    </w:p>
    <w:p>
      <w:pPr>
        <w:spacing w:before="40" w:after="100" w:line="276" w:lineRule="auto"/>
      </w:pPr>
      <w:r>
        <w:rPr>
          <w:rFonts w:ascii="Calibri" w:hAnsi="Calibri"/>
          <w:i w:val="0"/>
          <w:color w:val="1E293B"/>
          <w:sz w:val="21"/>
        </w:rPr>
        <w:t>This procedure elevated static feature completeness from 1.1% to 100%, unlocking crucial volume-normalized dosage features.</w:t>
      </w:r>
    </w:p>
    <w:p>
      <w:pPr>
        <w:keepNext/>
        <w:spacing w:before="320" w:after="120"/>
      </w:pPr>
      <w:r>
        <w:rPr>
          <w:rFonts w:ascii="Calibri" w:hAnsi="Calibri"/>
          <w:b/>
          <w:color w:val="3085C3"/>
          <w:sz w:val="28"/>
        </w:rPr>
        <w:t>2.5 As-Of Backward Merging of Operations &amp; Products</w:t>
      </w:r>
    </w:p>
    <w:p>
      <w:pPr>
        <w:spacing w:before="40" w:after="100" w:line="276" w:lineRule="auto"/>
      </w:pPr>
      <w:r>
        <w:rPr>
          <w:rFonts w:ascii="Calibri" w:hAnsi="Calibri"/>
          <w:i w:val="0"/>
          <w:color w:val="1E293B"/>
          <w:sz w:val="21"/>
        </w:rPr>
        <w:t>Because equipment operations and chemical applications were occasionally logged asynchronously from water quality measurements, the pipeline executes a pool-by-pool backward as-of merge (pd.merge_asof) with a 14-day tolerance window. Each water quality reading is matched to the most recent preceding equipment configuration and product application.</w:t>
      </w:r>
    </w:p>
    <w:p>
      <w:pPr>
        <w:keepNext/>
        <w:spacing w:before="440" w:after="160"/>
      </w:pPr>
      <w:r>
        <w:rPr>
          <w:rFonts w:ascii="Calibri" w:hAnsi="Calibri"/>
          <w:b/>
          <w:color w:val="0F2C59"/>
          <w:sz w:val="36"/>
        </w:rPr>
        <w:t>3. External Weather Intelligence &amp; Open-Meteo Integration</w:t>
      </w:r>
    </w:p>
    <w:p>
      <w:pPr>
        <w:spacing w:before="40" w:after="100" w:line="276" w:lineRule="auto"/>
      </w:pPr>
      <w:r>
        <w:rPr>
          <w:rFonts w:ascii="Calibri" w:hAnsi="Calibri"/>
          <w:i w:val="0"/>
          <w:color w:val="1E293B"/>
          <w:sz w:val="21"/>
        </w:rPr>
        <w:t>Chlorine degradation in outdoor pools is predominantly driven by solar ultraviolet radiation and elevated ambient temperatures. The system integrates high-resolution daily atmospheric intelligence for Alicante (38.3452° N, -0.4815° W) fetched from the Open-Meteo European Weather Model API and cached in 'data/weather_alicante_2023_2026.csv' (1,312 continuous days).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rPr>
        <w:tc>
          <w:tcPr>
            <w:tcW w:type="dxa" w:w="2880"/>
            <w:shd w:fill="0F2C59"/>
            <w:tcMar>
              <w:top w:w="100" w:type="dxa"/>
              <w:bottom w:w="100" w:type="dxa"/>
              <w:left w:w="120" w:type="dxa"/>
              <w:right w:w="120" w:type="dxa"/>
            </w:tcMar>
          </w:tcPr>
          <w:p>
            <w:pPr>
              <w:spacing w:before="0" w:after="0" w:line="240" w:lineRule="auto"/>
            </w:pPr>
            <w:r>
              <w:rPr>
                <w:rFonts w:ascii="Calibri" w:hAnsi="Calibri"/>
                <w:b/>
                <w:color w:val="FFFFFF"/>
                <w:sz w:val="19"/>
              </w:rPr>
              <w:t>Weather Signal Group</w:t>
            </w:r>
          </w:p>
        </w:tc>
        <w:tc>
          <w:tcPr>
            <w:tcW w:type="dxa" w:w="3168"/>
            <w:shd w:fill="0F2C59"/>
            <w:tcMar>
              <w:top w:w="100" w:type="dxa"/>
              <w:bottom w:w="100" w:type="dxa"/>
              <w:left w:w="120" w:type="dxa"/>
              <w:right w:w="120" w:type="dxa"/>
            </w:tcMar>
          </w:tcPr>
          <w:p>
            <w:pPr>
              <w:spacing w:before="0" w:after="0" w:line="240" w:lineRule="auto"/>
            </w:pPr>
            <w:r>
              <w:rPr>
                <w:rFonts w:ascii="Calibri" w:hAnsi="Calibri"/>
                <w:b/>
                <w:color w:val="FFFFFF"/>
                <w:sz w:val="19"/>
              </w:rPr>
              <w:t>Features Included</w:t>
            </w:r>
          </w:p>
        </w:tc>
        <w:tc>
          <w:tcPr>
            <w:tcW w:type="dxa" w:w="3312"/>
            <w:shd w:fill="0F2C59"/>
            <w:tcMar>
              <w:top w:w="100" w:type="dxa"/>
              <w:bottom w:w="100" w:type="dxa"/>
              <w:left w:w="120" w:type="dxa"/>
              <w:right w:w="120" w:type="dxa"/>
            </w:tcMar>
          </w:tcPr>
          <w:p>
            <w:pPr>
              <w:spacing w:before="0" w:after="0" w:line="240" w:lineRule="auto"/>
            </w:pPr>
            <w:r>
              <w:rPr>
                <w:rFonts w:ascii="Calibri" w:hAnsi="Calibri"/>
                <w:b/>
                <w:color w:val="FFFFFF"/>
                <w:sz w:val="19"/>
              </w:rPr>
              <w:t>Physical Mechanism Captured</w:t>
            </w:r>
          </w:p>
        </w:tc>
      </w:tr>
      <w:tr>
        <w:tc>
          <w:tcPr>
            <w:tcW w:type="dxa" w:w="2880"/>
            <w:tcMar>
              <w:top w:w="80" w:type="dxa"/>
              <w:bottom w:w="80" w:type="dxa"/>
              <w:left w:w="120" w:type="dxa"/>
              <w:right w:w="120" w:type="dxa"/>
            </w:tcMar>
          </w:tcPr>
          <w:p>
            <w:pPr>
              <w:spacing w:before="0" w:after="0" w:line="252" w:lineRule="auto"/>
            </w:pPr>
            <w:r>
              <w:rPr>
                <w:rFonts w:ascii="Calibri" w:hAnsi="Calibri"/>
                <w:color w:val="1E293B"/>
                <w:sz w:val="18"/>
              </w:rPr>
              <w:t>Current Day Weather (9 features)</w:t>
            </w:r>
          </w:p>
        </w:tc>
        <w:tc>
          <w:tcPr>
            <w:tcW w:type="dxa" w:w="3168"/>
            <w:tcMar>
              <w:top w:w="80" w:type="dxa"/>
              <w:bottom w:w="80" w:type="dxa"/>
              <w:left w:w="120" w:type="dxa"/>
              <w:right w:w="120" w:type="dxa"/>
            </w:tcMar>
          </w:tcPr>
          <w:p>
            <w:pPr>
              <w:spacing w:before="0" w:after="0" w:line="252" w:lineRule="auto"/>
            </w:pPr>
            <w:r>
              <w:rPr>
                <w:rFonts w:ascii="Calibri" w:hAnsi="Calibri"/>
                <w:color w:val="1E293B"/>
                <w:sz w:val="18"/>
              </w:rPr>
              <w:t>w_temp_max, w_temp_mean, w_uv_max, w_uv_clear_sky_max, w_solar_radiation, w_sunshine_hours, w_precipitation_mm, w_wind_max_kmh, w_et0</w:t>
            </w:r>
          </w:p>
        </w:tc>
        <w:tc>
          <w:tcPr>
            <w:tcW w:type="dxa" w:w="3312"/>
            <w:tcMar>
              <w:top w:w="80" w:type="dxa"/>
              <w:bottom w:w="80" w:type="dxa"/>
              <w:left w:w="120" w:type="dxa"/>
              <w:right w:w="120" w:type="dxa"/>
            </w:tcMar>
          </w:tcPr>
          <w:p>
            <w:pPr>
              <w:spacing w:before="0" w:after="0" w:line="252" w:lineRule="auto"/>
            </w:pPr>
            <w:r>
              <w:rPr>
                <w:rFonts w:ascii="Calibri" w:hAnsi="Calibri"/>
                <w:color w:val="1E293B"/>
                <w:sz w:val="18"/>
              </w:rPr>
              <w:t>Captures immediate UV photolysis rates, evaporation loss, thermal acceleration of oxidation, and wind-borne debris.</w:t>
            </w:r>
          </w:p>
        </w:tc>
      </w:tr>
      <w:tr>
        <w:tc>
          <w:tcPr>
            <w:tcW w:type="dxa" w:w="2880"/>
            <w:shd w:fill="F8FAFC"/>
            <w:tcMar>
              <w:top w:w="80" w:type="dxa"/>
              <w:bottom w:w="80" w:type="dxa"/>
              <w:left w:w="120" w:type="dxa"/>
              <w:right w:w="120" w:type="dxa"/>
            </w:tcMar>
          </w:tcPr>
          <w:p>
            <w:pPr>
              <w:spacing w:before="0" w:after="0" w:line="252" w:lineRule="auto"/>
            </w:pPr>
            <w:r>
              <w:rPr>
                <w:rFonts w:ascii="Calibri" w:hAnsi="Calibri"/>
                <w:color w:val="1E293B"/>
                <w:sz w:val="18"/>
              </w:rPr>
              <w:t>Cumulative Weather Since Last Visit (4 features)</w:t>
            </w:r>
          </w:p>
        </w:tc>
        <w:tc>
          <w:tcPr>
            <w:tcW w:type="dxa" w:w="3168"/>
            <w:shd w:fill="F8FAFC"/>
            <w:tcMar>
              <w:top w:w="80" w:type="dxa"/>
              <w:bottom w:w="80" w:type="dxa"/>
              <w:left w:w="120" w:type="dxa"/>
              <w:right w:w="120" w:type="dxa"/>
            </w:tcMar>
          </w:tcPr>
          <w:p>
            <w:pPr>
              <w:spacing w:before="0" w:after="0" w:line="252" w:lineRule="auto"/>
            </w:pPr>
            <w:r>
              <w:rPr>
                <w:rFonts w:ascii="Calibri" w:hAnsi="Calibri"/>
                <w:color w:val="1E293B"/>
                <w:sz w:val="18"/>
              </w:rPr>
              <w:t>w_uv_sum_since, w_solar_sum_since, w_precip_sum_since, w_temp_mean_since</w:t>
            </w:r>
          </w:p>
        </w:tc>
        <w:tc>
          <w:tcPr>
            <w:tcW w:type="dxa" w:w="3312"/>
            <w:shd w:fill="F8FAFC"/>
            <w:tcMar>
              <w:top w:w="80" w:type="dxa"/>
              <w:bottom w:w="80" w:type="dxa"/>
              <w:left w:w="120" w:type="dxa"/>
              <w:right w:w="120" w:type="dxa"/>
            </w:tcMar>
          </w:tcPr>
          <w:p>
            <w:pPr>
              <w:spacing w:before="0" w:after="0" w:line="252" w:lineRule="auto"/>
            </w:pPr>
            <w:r>
              <w:rPr>
                <w:rFonts w:ascii="Calibri" w:hAnsi="Calibri"/>
                <w:color w:val="1E293B"/>
                <w:sz w:val="18"/>
              </w:rPr>
              <w:t>Integrates the total atmospheric energy and rainfall accumulated over the k-day inter-visit gap.</w:t>
            </w:r>
          </w:p>
        </w:tc>
      </w:tr>
      <w:tr>
        <w:tc>
          <w:tcPr>
            <w:tcW w:type="dxa" w:w="2880"/>
            <w:tcMar>
              <w:top w:w="80" w:type="dxa"/>
              <w:bottom w:w="80" w:type="dxa"/>
              <w:left w:w="120" w:type="dxa"/>
              <w:right w:w="120" w:type="dxa"/>
            </w:tcMar>
          </w:tcPr>
          <w:p>
            <w:pPr>
              <w:spacing w:before="0" w:after="0" w:line="252" w:lineRule="auto"/>
            </w:pPr>
            <w:r>
              <w:rPr>
                <w:rFonts w:ascii="Calibri" w:hAnsi="Calibri"/>
                <w:color w:val="1E293B"/>
                <w:sz w:val="18"/>
              </w:rPr>
              <w:t>Tomorrow Prediction-Day Forecast (9 features)</w:t>
            </w:r>
          </w:p>
        </w:tc>
        <w:tc>
          <w:tcPr>
            <w:tcW w:type="dxa" w:w="3168"/>
            <w:tcMar>
              <w:top w:w="80" w:type="dxa"/>
              <w:bottom w:w="80" w:type="dxa"/>
              <w:left w:w="120" w:type="dxa"/>
              <w:right w:w="120" w:type="dxa"/>
            </w:tcMar>
          </w:tcPr>
          <w:p>
            <w:pPr>
              <w:spacing w:before="0" w:after="0" w:line="252" w:lineRule="auto"/>
            </w:pPr>
            <w:r>
              <w:rPr>
                <w:rFonts w:ascii="Calibri" w:hAnsi="Calibri"/>
                <w:color w:val="1E293B"/>
                <w:sz w:val="18"/>
              </w:rPr>
              <w:t>w_tmrw_temp_max, w_tmrw_temp_mean, w_tmrw_uv_max, w_tmrw_uv_clear_sky_max, w_tmrw_solar_radiation, w_tmrw_sunshine_hours, w_tmrw_precipitation_mm, w_tmrw_wind_max_kmh, w_tmrw_et0</w:t>
            </w:r>
          </w:p>
        </w:tc>
        <w:tc>
          <w:tcPr>
            <w:tcW w:type="dxa" w:w="3312"/>
            <w:tcMar>
              <w:top w:w="80" w:type="dxa"/>
              <w:bottom w:w="80" w:type="dxa"/>
              <w:left w:w="120" w:type="dxa"/>
              <w:right w:w="120" w:type="dxa"/>
            </w:tcMar>
          </w:tcPr>
          <w:p>
            <w:pPr>
              <w:spacing w:before="0" w:after="0" w:line="252" w:lineRule="auto"/>
            </w:pPr>
            <w:r>
              <w:rPr>
                <w:rFonts w:ascii="Calibri" w:hAnsi="Calibri"/>
                <w:color w:val="1E293B"/>
                <w:sz w:val="18"/>
              </w:rPr>
              <w:t>Provides direct forward-looking signals for next-day chemical demand and impending weather shocks.</w:t>
            </w:r>
          </w:p>
        </w:tc>
      </w:tr>
    </w:tbl>
    <w:p>
      <w:pPr>
        <w:spacing w:before="0" w:after="120"/>
      </w:pPr>
    </w:p>
    <w:p>
      <w:pPr>
        <w:spacing w:before="40" w:after="100" w:line="276" w:lineRule="auto"/>
      </w:pPr>
      <w:r>
        <w:rPr>
          <w:rFonts w:ascii="Calibri" w:hAnsi="Calibri"/>
          <w:i w:val="0"/>
          <w:color w:val="1E293B"/>
          <w:sz w:val="21"/>
        </w:rPr>
        <w:t>Merge Integrity Enforcement: Weather joins are executed via exact date left joins on normalized timestamps. Strict runtime assertions ensure zero row-count inflation (38,362 -&gt; 38,362 rows).</w:t>
      </w:r>
    </w:p>
    <w:p>
      <w:pPr>
        <w:keepNext/>
        <w:spacing w:before="440" w:after="160"/>
      </w:pPr>
      <w:r>
        <w:rPr>
          <w:rFonts w:ascii="Calibri" w:hAnsi="Calibri"/>
          <w:b/>
          <w:color w:val="0F2C59"/>
          <w:sz w:val="36"/>
        </w:rPr>
        <w:t>4. Complete Feature Engineering Pipeline (87 Numeric Signals)</w:t>
      </w:r>
    </w:p>
    <w:p>
      <w:pPr>
        <w:spacing w:before="40" w:after="100" w:line="276" w:lineRule="auto"/>
      </w:pPr>
      <w:r>
        <w:rPr>
          <w:rFonts w:ascii="Calibri" w:hAnsi="Calibri"/>
          <w:i w:val="0"/>
          <w:color w:val="1E293B"/>
          <w:sz w:val="21"/>
        </w:rPr>
        <w:t>The pipeline computes 87 numeric and categorical features structured into 13 distinct functional groups. Strict bit-for-bit feature parity is maintained between training and inference: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rPr>
        <w:tc>
          <w:tcPr>
            <w:tcW w:type="dxa" w:w="2160"/>
            <w:shd w:fill="0F2C59"/>
            <w:tcMar>
              <w:top w:w="100" w:type="dxa"/>
              <w:bottom w:w="100" w:type="dxa"/>
              <w:left w:w="120" w:type="dxa"/>
              <w:right w:w="120" w:type="dxa"/>
            </w:tcMar>
          </w:tcPr>
          <w:p>
            <w:pPr>
              <w:spacing w:before="0" w:after="0" w:line="240" w:lineRule="auto"/>
            </w:pPr>
            <w:r>
              <w:rPr>
                <w:rFonts w:ascii="Calibri" w:hAnsi="Calibri"/>
                <w:b/>
                <w:color w:val="FFFFFF"/>
                <w:sz w:val="19"/>
              </w:rPr>
              <w:t>Group</w:t>
            </w:r>
          </w:p>
        </w:tc>
        <w:tc>
          <w:tcPr>
            <w:tcW w:type="dxa" w:w="3168"/>
            <w:shd w:fill="0F2C59"/>
            <w:tcMar>
              <w:top w:w="100" w:type="dxa"/>
              <w:bottom w:w="100" w:type="dxa"/>
              <w:left w:w="120" w:type="dxa"/>
              <w:right w:w="120" w:type="dxa"/>
            </w:tcMar>
          </w:tcPr>
          <w:p>
            <w:pPr>
              <w:spacing w:before="0" w:after="0" w:line="240" w:lineRule="auto"/>
            </w:pPr>
            <w:r>
              <w:rPr>
                <w:rFonts w:ascii="Calibri" w:hAnsi="Calibri"/>
                <w:b/>
                <w:color w:val="FFFFFF"/>
                <w:sz w:val="19"/>
              </w:rPr>
              <w:t>Feature Names</w:t>
            </w:r>
          </w:p>
        </w:tc>
        <w:tc>
          <w:tcPr>
            <w:tcW w:type="dxa" w:w="4032"/>
            <w:shd w:fill="0F2C59"/>
            <w:tcMar>
              <w:top w:w="100" w:type="dxa"/>
              <w:bottom w:w="100" w:type="dxa"/>
              <w:left w:w="120" w:type="dxa"/>
              <w:right w:w="120" w:type="dxa"/>
            </w:tcMar>
          </w:tcPr>
          <w:p>
            <w:pPr>
              <w:spacing w:before="0" w:after="0" w:line="240" w:lineRule="auto"/>
            </w:pPr>
            <w:r>
              <w:rPr>
                <w:rFonts w:ascii="Calibri" w:hAnsi="Calibri"/>
                <w:b/>
                <w:color w:val="FFFFFF"/>
                <w:sz w:val="19"/>
              </w:rPr>
              <w:t>Mathematical Formulation &amp; Meaning</w:t>
            </w:r>
          </w:p>
        </w:tc>
      </w:tr>
      <w:tr>
        <w:tc>
          <w:tcPr>
            <w:tcW w:type="dxa" w:w="2160"/>
            <w:tcMar>
              <w:top w:w="80" w:type="dxa"/>
              <w:bottom w:w="80" w:type="dxa"/>
              <w:left w:w="120" w:type="dxa"/>
              <w:right w:w="120" w:type="dxa"/>
            </w:tcMar>
          </w:tcPr>
          <w:p>
            <w:pPr>
              <w:spacing w:before="0" w:after="0" w:line="252" w:lineRule="auto"/>
            </w:pPr>
            <w:r>
              <w:rPr>
                <w:rFonts w:ascii="Calibri" w:hAnsi="Calibri"/>
                <w:color w:val="1E293B"/>
                <w:sz w:val="18"/>
              </w:rPr>
              <w:t>Static Pool</w:t>
            </w:r>
          </w:p>
        </w:tc>
        <w:tc>
          <w:tcPr>
            <w:tcW w:type="dxa" w:w="3168"/>
            <w:tcMar>
              <w:top w:w="80" w:type="dxa"/>
              <w:bottom w:w="80" w:type="dxa"/>
              <w:left w:w="120" w:type="dxa"/>
              <w:right w:w="120" w:type="dxa"/>
            </w:tcMar>
          </w:tcPr>
          <w:p>
            <w:pPr>
              <w:spacing w:before="0" w:after="0" w:line="252" w:lineRule="auto"/>
            </w:pPr>
            <w:r>
              <w:rPr>
                <w:rFonts w:ascii="Calibri" w:hAnsi="Calibri"/>
                <w:color w:val="1E293B"/>
                <w:sz w:val="18"/>
              </w:rPr>
              <w:t>pool_surface_m2, pool_volume_m3, filter_diameter, filter_count, motor_count</w:t>
            </w:r>
          </w:p>
        </w:tc>
        <w:tc>
          <w:tcPr>
            <w:tcW w:type="dxa" w:w="4032"/>
            <w:tcMar>
              <w:top w:w="80" w:type="dxa"/>
              <w:bottom w:w="80" w:type="dxa"/>
              <w:left w:w="120" w:type="dxa"/>
              <w:right w:w="120" w:type="dxa"/>
            </w:tcMar>
          </w:tcPr>
          <w:p>
            <w:pPr>
              <w:spacing w:before="0" w:after="0" w:line="252" w:lineRule="auto"/>
            </w:pPr>
            <w:r>
              <w:rPr>
                <w:rFonts w:ascii="Calibri" w:hAnsi="Calibri"/>
                <w:color w:val="1E293B"/>
                <w:sz w:val="18"/>
              </w:rPr>
              <w:t>Physical dimensions and hydraulic filtration capacity.</w:t>
            </w:r>
          </w:p>
        </w:tc>
      </w:tr>
      <w:tr>
        <w:tc>
          <w:tcPr>
            <w:tcW w:type="dxa" w:w="2160"/>
            <w:shd w:fill="F8FAFC"/>
            <w:tcMar>
              <w:top w:w="80" w:type="dxa"/>
              <w:bottom w:w="80" w:type="dxa"/>
              <w:left w:w="120" w:type="dxa"/>
              <w:right w:w="120" w:type="dxa"/>
            </w:tcMar>
          </w:tcPr>
          <w:p>
            <w:pPr>
              <w:spacing w:before="0" w:after="0" w:line="252" w:lineRule="auto"/>
            </w:pPr>
            <w:r>
              <w:rPr>
                <w:rFonts w:ascii="Calibri" w:hAnsi="Calibri"/>
                <w:color w:val="1E293B"/>
                <w:sz w:val="18"/>
              </w:rPr>
              <w:t>Categorical</w:t>
            </w:r>
          </w:p>
        </w:tc>
        <w:tc>
          <w:tcPr>
            <w:tcW w:type="dxa" w:w="3168"/>
            <w:shd w:fill="F8FAFC"/>
            <w:tcMar>
              <w:top w:w="80" w:type="dxa"/>
              <w:bottom w:w="80" w:type="dxa"/>
              <w:left w:w="120" w:type="dxa"/>
              <w:right w:w="120" w:type="dxa"/>
            </w:tcMar>
          </w:tcPr>
          <w:p>
            <w:pPr>
              <w:spacing w:before="0" w:after="0" w:line="252" w:lineRule="auto"/>
            </w:pPr>
            <w:r>
              <w:rPr>
                <w:rFonts w:ascii="Calibri" w:hAnsi="Calibri"/>
                <w:color w:val="1E293B"/>
                <w:sz w:val="18"/>
              </w:rPr>
              <w:t>pool_type (community, outdoor, heated), deck_type (grass, paved, mixed)</w:t>
            </w:r>
          </w:p>
        </w:tc>
        <w:tc>
          <w:tcPr>
            <w:tcW w:type="dxa" w:w="4032"/>
            <w:shd w:fill="F8FAFC"/>
            <w:tcMar>
              <w:top w:w="80" w:type="dxa"/>
              <w:bottom w:w="80" w:type="dxa"/>
              <w:left w:w="120" w:type="dxa"/>
              <w:right w:w="120" w:type="dxa"/>
            </w:tcMar>
          </w:tcPr>
          <w:p>
            <w:pPr>
              <w:spacing w:before="0" w:after="0" w:line="252" w:lineRule="auto"/>
            </w:pPr>
            <w:r>
              <w:rPr>
                <w:rFonts w:ascii="Calibri" w:hAnsi="Calibri"/>
                <w:color w:val="1E293B"/>
                <w:sz w:val="18"/>
              </w:rPr>
              <w:t>One-hot encoded categorical indicators.</w:t>
            </w:r>
          </w:p>
        </w:tc>
      </w:tr>
      <w:tr>
        <w:tc>
          <w:tcPr>
            <w:tcW w:type="dxa" w:w="2160"/>
            <w:tcMar>
              <w:top w:w="80" w:type="dxa"/>
              <w:bottom w:w="80" w:type="dxa"/>
              <w:left w:w="120" w:type="dxa"/>
              <w:right w:w="120" w:type="dxa"/>
            </w:tcMar>
          </w:tcPr>
          <w:p>
            <w:pPr>
              <w:spacing w:before="0" w:after="0" w:line="252" w:lineRule="auto"/>
            </w:pPr>
            <w:r>
              <w:rPr>
                <w:rFonts w:ascii="Calibri" w:hAnsi="Calibri"/>
                <w:color w:val="1E293B"/>
                <w:sz w:val="18"/>
              </w:rPr>
              <w:t>Autoregressive Lags</w:t>
            </w:r>
          </w:p>
        </w:tc>
        <w:tc>
          <w:tcPr>
            <w:tcW w:type="dxa" w:w="3168"/>
            <w:tcMar>
              <w:top w:w="80" w:type="dxa"/>
              <w:bottom w:w="80" w:type="dxa"/>
              <w:left w:w="120" w:type="dxa"/>
              <w:right w:w="120" w:type="dxa"/>
            </w:tcMar>
          </w:tcPr>
          <w:p>
            <w:pPr>
              <w:spacing w:before="0" w:after="0" w:line="252" w:lineRule="auto"/>
            </w:pPr>
            <w:r>
              <w:rPr>
                <w:rFonts w:ascii="Calibri" w:hAnsi="Calibri"/>
                <w:color w:val="1E293B"/>
                <w:sz w:val="18"/>
              </w:rPr>
              <w:t>ph_lag1, ph_lag2, chlorine_lag1, chlorine_lag2, turbidity_lag1, turbidity_lag2</w:t>
            </w:r>
          </w:p>
        </w:tc>
        <w:tc>
          <w:tcPr>
            <w:tcW w:type="dxa" w:w="4032"/>
            <w:tcMar>
              <w:top w:w="80" w:type="dxa"/>
              <w:bottom w:w="80" w:type="dxa"/>
              <w:left w:w="120" w:type="dxa"/>
              <w:right w:w="120" w:type="dxa"/>
            </w:tcMar>
          </w:tcPr>
          <w:p>
            <w:pPr>
              <w:spacing w:before="0" w:after="0" w:line="252" w:lineRule="auto"/>
            </w:pPr>
            <w:r>
              <w:rPr>
                <w:rFonts w:ascii="Calibri" w:hAnsi="Calibri"/>
                <w:color w:val="1E293B"/>
                <w:sz w:val="18"/>
              </w:rPr>
              <w:t>Chemical measurements at the preceding 1 and 2 visits.</w:t>
            </w:r>
          </w:p>
        </w:tc>
      </w:tr>
      <w:tr>
        <w:tc>
          <w:tcPr>
            <w:tcW w:type="dxa" w:w="2160"/>
            <w:shd w:fill="F8FAFC"/>
            <w:tcMar>
              <w:top w:w="80" w:type="dxa"/>
              <w:bottom w:w="80" w:type="dxa"/>
              <w:left w:w="120" w:type="dxa"/>
              <w:right w:w="120" w:type="dxa"/>
            </w:tcMar>
          </w:tcPr>
          <w:p>
            <w:pPr>
              <w:spacing w:before="0" w:after="0" w:line="252" w:lineRule="auto"/>
            </w:pPr>
            <w:r>
              <w:rPr>
                <w:rFonts w:ascii="Calibri" w:hAnsi="Calibri"/>
                <w:color w:val="1E293B"/>
                <w:sz w:val="18"/>
              </w:rPr>
              <w:t>Rolling Stats</w:t>
            </w:r>
          </w:p>
        </w:tc>
        <w:tc>
          <w:tcPr>
            <w:tcW w:type="dxa" w:w="3168"/>
            <w:shd w:fill="F8FAFC"/>
            <w:tcMar>
              <w:top w:w="80" w:type="dxa"/>
              <w:bottom w:w="80" w:type="dxa"/>
              <w:left w:w="120" w:type="dxa"/>
              <w:right w:w="120" w:type="dxa"/>
            </w:tcMar>
          </w:tcPr>
          <w:p>
            <w:pPr>
              <w:spacing w:before="0" w:after="0" w:line="252" w:lineRule="auto"/>
            </w:pPr>
            <w:r>
              <w:rPr>
                <w:rFonts w:ascii="Calibri" w:hAnsi="Calibri"/>
                <w:color w:val="1E293B"/>
                <w:sz w:val="18"/>
              </w:rPr>
              <w:t>ph_roll3_mean, ph_roll3_std, chlorine_roll3_mean, chlorine_roll3_std, turbidity_roll3_mean</w:t>
            </w:r>
          </w:p>
        </w:tc>
        <w:tc>
          <w:tcPr>
            <w:tcW w:type="dxa" w:w="4032"/>
            <w:shd w:fill="F8FAFC"/>
            <w:tcMar>
              <w:top w:w="80" w:type="dxa"/>
              <w:bottom w:w="80" w:type="dxa"/>
              <w:left w:w="120" w:type="dxa"/>
              <w:right w:w="120" w:type="dxa"/>
            </w:tcMar>
          </w:tcPr>
          <w:p>
            <w:pPr>
              <w:spacing w:before="0" w:after="0" w:line="252" w:lineRule="auto"/>
            </w:pPr>
            <w:r>
              <w:rPr>
                <w:rFonts w:ascii="Calibri" w:hAnsi="Calibri"/>
                <w:color w:val="1E293B"/>
                <w:sz w:val="18"/>
              </w:rPr>
              <w:t>3-visit rolling mean and standard deviation capturing baseline stability.</w:t>
            </w:r>
          </w:p>
        </w:tc>
      </w:tr>
      <w:tr>
        <w:tc>
          <w:tcPr>
            <w:tcW w:type="dxa" w:w="2160"/>
            <w:tcMar>
              <w:top w:w="80" w:type="dxa"/>
              <w:bottom w:w="80" w:type="dxa"/>
              <w:left w:w="120" w:type="dxa"/>
              <w:right w:w="120" w:type="dxa"/>
            </w:tcMar>
          </w:tcPr>
          <w:p>
            <w:pPr>
              <w:spacing w:before="0" w:after="0" w:line="252" w:lineRule="auto"/>
            </w:pPr>
            <w:r>
              <w:rPr>
                <w:rFonts w:ascii="Calibri" w:hAnsi="Calibri"/>
                <w:color w:val="1E293B"/>
                <w:sz w:val="18"/>
              </w:rPr>
              <w:t>Temporal &amp; Calendar</w:t>
            </w:r>
          </w:p>
        </w:tc>
        <w:tc>
          <w:tcPr>
            <w:tcW w:type="dxa" w:w="3168"/>
            <w:tcMar>
              <w:top w:w="80" w:type="dxa"/>
              <w:bottom w:w="80" w:type="dxa"/>
              <w:left w:w="120" w:type="dxa"/>
              <w:right w:w="120" w:type="dxa"/>
            </w:tcMar>
          </w:tcPr>
          <w:p>
            <w:pPr>
              <w:spacing w:before="0" w:after="0" w:line="252" w:lineRule="auto"/>
            </w:pPr>
            <w:r>
              <w:rPr>
                <w:rFonts w:ascii="Calibri" w:hAnsi="Calibri"/>
                <w:color w:val="1E293B"/>
                <w:sz w:val="18"/>
              </w:rPr>
              <w:t>days_since_last_visit, visit_month, visit_is_summer, visit_day_of_week, visit_year, pool_visit_number</w:t>
            </w:r>
          </w:p>
        </w:tc>
        <w:tc>
          <w:tcPr>
            <w:tcW w:type="dxa" w:w="4032"/>
            <w:tcMar>
              <w:top w:w="80" w:type="dxa"/>
              <w:bottom w:w="80" w:type="dxa"/>
              <w:left w:w="120" w:type="dxa"/>
              <w:right w:w="120" w:type="dxa"/>
            </w:tcMar>
          </w:tcPr>
          <w:p>
            <w:pPr>
              <w:spacing w:before="0" w:after="0" w:line="252" w:lineRule="auto"/>
            </w:pPr>
            <w:r>
              <w:rPr>
                <w:rFonts w:ascii="Calibri" w:hAnsi="Calibri"/>
                <w:color w:val="1E293B"/>
                <w:sz w:val="18"/>
              </w:rPr>
              <w:t>Inter-visit gap k, summer indicator (June–Sept), and bather surge cycle.</w:t>
            </w:r>
          </w:p>
        </w:tc>
      </w:tr>
      <w:tr>
        <w:tc>
          <w:tcPr>
            <w:tcW w:type="dxa" w:w="2160"/>
            <w:shd w:fill="F8FAFC"/>
            <w:tcMar>
              <w:top w:w="80" w:type="dxa"/>
              <w:bottom w:w="80" w:type="dxa"/>
              <w:left w:w="120" w:type="dxa"/>
              <w:right w:w="120" w:type="dxa"/>
            </w:tcMar>
          </w:tcPr>
          <w:p>
            <w:pPr>
              <w:spacing w:before="0" w:after="0" w:line="252" w:lineRule="auto"/>
            </w:pPr>
            <w:r>
              <w:rPr>
                <w:rFonts w:ascii="Calibri" w:hAnsi="Calibri"/>
                <w:color w:val="1E293B"/>
                <w:sz w:val="18"/>
              </w:rPr>
              <w:t>Equipment Controls</w:t>
            </w:r>
          </w:p>
        </w:tc>
        <w:tc>
          <w:tcPr>
            <w:tcW w:type="dxa" w:w="3168"/>
            <w:shd w:fill="F8FAFC"/>
            <w:tcMar>
              <w:top w:w="80" w:type="dxa"/>
              <w:bottom w:w="80" w:type="dxa"/>
              <w:left w:w="120" w:type="dxa"/>
              <w:right w:w="120" w:type="dxa"/>
            </w:tcMar>
          </w:tcPr>
          <w:p>
            <w:pPr>
              <w:spacing w:before="0" w:after="0" w:line="252" w:lineRule="auto"/>
            </w:pPr>
            <w:r>
              <w:rPr>
                <w:rFonts w:ascii="Calibri" w:hAnsi="Calibri"/>
                <w:color w:val="1E293B"/>
                <w:sz w:val="18"/>
              </w:rPr>
              <w:t>hypochlorite_dosing_pct, hypochlorite_dosing_hours, ph_dosing_pct, ph_dosing_hours, daily_filtration_hours, water_temperature</w:t>
            </w:r>
          </w:p>
        </w:tc>
        <w:tc>
          <w:tcPr>
            <w:tcW w:type="dxa" w:w="4032"/>
            <w:shd w:fill="F8FAFC"/>
            <w:tcMar>
              <w:top w:w="80" w:type="dxa"/>
              <w:bottom w:w="80" w:type="dxa"/>
              <w:left w:w="120" w:type="dxa"/>
              <w:right w:w="120" w:type="dxa"/>
            </w:tcMar>
          </w:tcPr>
          <w:p>
            <w:pPr>
              <w:spacing w:before="0" w:after="0" w:line="252" w:lineRule="auto"/>
            </w:pPr>
            <w:r>
              <w:rPr>
                <w:rFonts w:ascii="Calibri" w:hAnsi="Calibri"/>
                <w:color w:val="1E293B"/>
                <w:sz w:val="18"/>
              </w:rPr>
              <w:t>Pump output percentages and daily filtration run times.</w:t>
            </w:r>
          </w:p>
        </w:tc>
      </w:tr>
      <w:tr>
        <w:tc>
          <w:tcPr>
            <w:tcW w:type="dxa" w:w="2160"/>
            <w:tcMar>
              <w:top w:w="80" w:type="dxa"/>
              <w:bottom w:w="80" w:type="dxa"/>
              <w:left w:w="120" w:type="dxa"/>
              <w:right w:w="120" w:type="dxa"/>
            </w:tcMar>
          </w:tcPr>
          <w:p>
            <w:pPr>
              <w:spacing w:before="0" w:after="0" w:line="252" w:lineRule="auto"/>
            </w:pPr>
            <w:r>
              <w:rPr>
                <w:rFonts w:ascii="Calibri" w:hAnsi="Calibri"/>
                <w:color w:val="1E293B"/>
                <w:sz w:val="18"/>
              </w:rPr>
              <w:t>Product History</w:t>
            </w:r>
          </w:p>
        </w:tc>
        <w:tc>
          <w:tcPr>
            <w:tcW w:type="dxa" w:w="3168"/>
            <w:tcMar>
              <w:top w:w="80" w:type="dxa"/>
              <w:bottom w:w="80" w:type="dxa"/>
              <w:left w:w="120" w:type="dxa"/>
              <w:right w:w="120" w:type="dxa"/>
            </w:tcMar>
          </w:tcPr>
          <w:p>
            <w:pPr>
              <w:spacing w:before="0" w:after="0" w:line="252" w:lineRule="auto"/>
            </w:pPr>
            <w:r>
              <w:rPr>
                <w:rFonts w:ascii="Calibri" w:hAnsi="Calibri"/>
                <w:color w:val="1E293B"/>
                <w:sz w:val="18"/>
              </w:rPr>
              <w:t>last_total_chlorine_applied, total_ph_minus_product</w:t>
            </w:r>
          </w:p>
        </w:tc>
        <w:tc>
          <w:tcPr>
            <w:tcW w:type="dxa" w:w="4032"/>
            <w:tcMar>
              <w:top w:w="80" w:type="dxa"/>
              <w:bottom w:w="80" w:type="dxa"/>
              <w:left w:w="120" w:type="dxa"/>
              <w:right w:w="120" w:type="dxa"/>
            </w:tcMar>
          </w:tcPr>
          <w:p>
            <w:pPr>
              <w:spacing w:before="0" w:after="0" w:line="252" w:lineRule="auto"/>
            </w:pPr>
            <w:r>
              <w:rPr>
                <w:rFonts w:ascii="Calibri" w:hAnsi="Calibri"/>
                <w:color w:val="1E293B"/>
                <w:sz w:val="18"/>
              </w:rPr>
              <w:t>Total kg of chlorine and acid products applied at previous visit.</w:t>
            </w:r>
          </w:p>
        </w:tc>
      </w:tr>
      <w:tr>
        <w:tc>
          <w:tcPr>
            <w:tcW w:type="dxa" w:w="2160"/>
            <w:shd w:fill="F8FAFC"/>
            <w:tcMar>
              <w:top w:w="80" w:type="dxa"/>
              <w:bottom w:w="80" w:type="dxa"/>
              <w:left w:w="120" w:type="dxa"/>
              <w:right w:w="120" w:type="dxa"/>
            </w:tcMar>
          </w:tcPr>
          <w:p>
            <w:pPr>
              <w:spacing w:before="0" w:after="0" w:line="252" w:lineRule="auto"/>
            </w:pPr>
            <w:r>
              <w:rPr>
                <w:rFonts w:ascii="Calibri" w:hAnsi="Calibri"/>
                <w:color w:val="1E293B"/>
                <w:sz w:val="18"/>
              </w:rPr>
              <w:t>Regulatory Headroom</w:t>
            </w:r>
          </w:p>
        </w:tc>
        <w:tc>
          <w:tcPr>
            <w:tcW w:type="dxa" w:w="3168"/>
            <w:shd w:fill="F8FAFC"/>
            <w:tcMar>
              <w:top w:w="80" w:type="dxa"/>
              <w:bottom w:w="80" w:type="dxa"/>
              <w:left w:w="120" w:type="dxa"/>
              <w:right w:w="120" w:type="dxa"/>
            </w:tcMar>
          </w:tcPr>
          <w:p>
            <w:pPr>
              <w:spacing w:before="0" w:after="0" w:line="252" w:lineRule="auto"/>
            </w:pPr>
            <w:r>
              <w:rPr>
                <w:rFonts w:ascii="Calibri" w:hAnsi="Calibri"/>
                <w:color w:val="1E293B"/>
                <w:sz w:val="18"/>
              </w:rPr>
              <w:t>chlorine_headroom_low (Cl - 0.5), chlorine_headroom_high (5.0 - Cl), ph_headroom_low (pH - 7.2), ph_headroom_high (8.0 - pH), turbidity_headroom (5.0 - Turb), min_headroom</w:t>
            </w:r>
          </w:p>
        </w:tc>
        <w:tc>
          <w:tcPr>
            <w:tcW w:type="dxa" w:w="4032"/>
            <w:shd w:fill="F8FAFC"/>
            <w:tcMar>
              <w:top w:w="80" w:type="dxa"/>
              <w:bottom w:w="80" w:type="dxa"/>
              <w:left w:w="120" w:type="dxa"/>
              <w:right w:w="120" w:type="dxa"/>
            </w:tcMar>
          </w:tcPr>
          <w:p>
            <w:pPr>
              <w:spacing w:before="0" w:after="0" w:line="252" w:lineRule="auto"/>
            </w:pPr>
            <w:r>
              <w:rPr>
                <w:rFonts w:ascii="Calibri" w:hAnsi="Calibri"/>
                <w:color w:val="1E293B"/>
                <w:sz w:val="18"/>
              </w:rPr>
              <w:t>Linear distance to nearest regulatory boundary under RD 742/2013.</w:t>
            </w:r>
          </w:p>
        </w:tc>
      </w:tr>
      <w:tr>
        <w:tc>
          <w:tcPr>
            <w:tcW w:type="dxa" w:w="2160"/>
            <w:tcMar>
              <w:top w:w="80" w:type="dxa"/>
              <w:bottom w:w="80" w:type="dxa"/>
              <w:left w:w="120" w:type="dxa"/>
              <w:right w:w="120" w:type="dxa"/>
            </w:tcMar>
          </w:tcPr>
          <w:p>
            <w:pPr>
              <w:spacing w:before="0" w:after="0" w:line="252" w:lineRule="auto"/>
            </w:pPr>
            <w:r>
              <w:rPr>
                <w:rFonts w:ascii="Calibri" w:hAnsi="Calibri"/>
                <w:color w:val="1E293B"/>
                <w:sz w:val="18"/>
              </w:rPr>
              <w:t>Client Target Distances</w:t>
            </w:r>
          </w:p>
        </w:tc>
        <w:tc>
          <w:tcPr>
            <w:tcW w:type="dxa" w:w="3168"/>
            <w:tcMar>
              <w:top w:w="80" w:type="dxa"/>
              <w:bottom w:w="80" w:type="dxa"/>
              <w:left w:w="120" w:type="dxa"/>
              <w:right w:w="120" w:type="dxa"/>
            </w:tcMar>
          </w:tcPr>
          <w:p>
            <w:pPr>
              <w:spacing w:before="0" w:after="0" w:line="252" w:lineRule="auto"/>
            </w:pPr>
            <w:r>
              <w:rPr>
                <w:rFonts w:ascii="Calibri" w:hAnsi="Calibri"/>
                <w:color w:val="1E293B"/>
                <w:sz w:val="18"/>
              </w:rPr>
              <w:t>cl_below_client_target (max(0, 1.0 - Cl)), cl_above_client_target (max(0, Cl - 1.5))</w:t>
            </w:r>
          </w:p>
        </w:tc>
        <w:tc>
          <w:tcPr>
            <w:tcW w:type="dxa" w:w="4032"/>
            <w:tcMar>
              <w:top w:w="80" w:type="dxa"/>
              <w:bottom w:w="80" w:type="dxa"/>
              <w:left w:w="120" w:type="dxa"/>
              <w:right w:w="120" w:type="dxa"/>
            </w:tcMar>
          </w:tcPr>
          <w:p>
            <w:pPr>
              <w:spacing w:before="0" w:after="0" w:line="252" w:lineRule="auto"/>
            </w:pPr>
            <w:r>
              <w:rPr>
                <w:rFonts w:ascii="Calibri" w:hAnsi="Calibri"/>
                <w:color w:val="1E293B"/>
                <w:sz w:val="18"/>
              </w:rPr>
              <w:t>Linear shortfall or surplus relative to client 1.0–1.5 mg/L target.</w:t>
            </w:r>
          </w:p>
        </w:tc>
      </w:tr>
      <w:tr>
        <w:tc>
          <w:tcPr>
            <w:tcW w:type="dxa" w:w="2160"/>
            <w:shd w:fill="F8FAFC"/>
            <w:tcMar>
              <w:top w:w="80" w:type="dxa"/>
              <w:bottom w:w="80" w:type="dxa"/>
              <w:left w:w="120" w:type="dxa"/>
              <w:right w:w="120" w:type="dxa"/>
            </w:tcMar>
          </w:tcPr>
          <w:p>
            <w:pPr>
              <w:spacing w:before="0" w:after="0" w:line="252" w:lineRule="auto"/>
            </w:pPr>
            <w:r>
              <w:rPr>
                <w:rFonts w:ascii="Calibri" w:hAnsi="Calibri"/>
                <w:color w:val="1E293B"/>
                <w:sz w:val="18"/>
              </w:rPr>
              <w:t>Trends &amp; Drift Rates</w:t>
            </w:r>
          </w:p>
        </w:tc>
        <w:tc>
          <w:tcPr>
            <w:tcW w:type="dxa" w:w="3168"/>
            <w:shd w:fill="F8FAFC"/>
            <w:tcMar>
              <w:top w:w="80" w:type="dxa"/>
              <w:bottom w:w="80" w:type="dxa"/>
              <w:left w:w="120" w:type="dxa"/>
              <w:right w:w="120" w:type="dxa"/>
            </w:tcMar>
          </w:tcPr>
          <w:p>
            <w:pPr>
              <w:spacing w:before="0" w:after="0" w:line="252" w:lineRule="auto"/>
            </w:pPr>
            <w:r>
              <w:rPr>
                <w:rFonts w:ascii="Calibri" w:hAnsi="Calibri"/>
                <w:color w:val="1E293B"/>
                <w:sz w:val="18"/>
              </w:rPr>
              <w:t>ph_trend, chlorine_trend, turbidity_trend, ph_rate_per_day, chlorine_rate_per_day, turbidity_rate_per_day</w:t>
            </w:r>
          </w:p>
        </w:tc>
        <w:tc>
          <w:tcPr>
            <w:tcW w:type="dxa" w:w="4032"/>
            <w:shd w:fill="F8FAFC"/>
            <w:tcMar>
              <w:top w:w="80" w:type="dxa"/>
              <w:bottom w:w="80" w:type="dxa"/>
              <w:left w:w="120" w:type="dxa"/>
              <w:right w:w="120" w:type="dxa"/>
            </w:tcMar>
          </w:tcPr>
          <w:p>
            <w:pPr>
              <w:spacing w:before="0" w:after="0" w:line="252" w:lineRule="auto"/>
            </w:pPr>
            <w:r>
              <w:rPr>
                <w:rFonts w:ascii="Calibri" w:hAnsi="Calibri"/>
                <w:color w:val="1E293B"/>
                <w:sz w:val="18"/>
              </w:rPr>
              <w:t>Directional delta and velocity of chemical change per elapsed day.</w:t>
            </w:r>
          </w:p>
        </w:tc>
      </w:tr>
      <w:tr>
        <w:tc>
          <w:tcPr>
            <w:tcW w:type="dxa" w:w="2160"/>
            <w:tcMar>
              <w:top w:w="80" w:type="dxa"/>
              <w:bottom w:w="80" w:type="dxa"/>
              <w:left w:w="120" w:type="dxa"/>
              <w:right w:w="120" w:type="dxa"/>
            </w:tcMar>
          </w:tcPr>
          <w:p>
            <w:pPr>
              <w:spacing w:before="0" w:after="0" w:line="252" w:lineRule="auto"/>
            </w:pPr>
            <w:r>
              <w:rPr>
                <w:rFonts w:ascii="Calibri" w:hAnsi="Calibri"/>
                <w:color w:val="1E293B"/>
                <w:sz w:val="18"/>
              </w:rPr>
              <w:t>Breach Compliance</w:t>
            </w:r>
          </w:p>
        </w:tc>
        <w:tc>
          <w:tcPr>
            <w:tcW w:type="dxa" w:w="3168"/>
            <w:tcMar>
              <w:top w:w="80" w:type="dxa"/>
              <w:bottom w:w="80" w:type="dxa"/>
              <w:left w:w="120" w:type="dxa"/>
              <w:right w:w="120" w:type="dxa"/>
            </w:tcMar>
          </w:tcPr>
          <w:p>
            <w:pPr>
              <w:spacing w:before="0" w:after="0" w:line="252" w:lineRule="auto"/>
            </w:pPr>
            <w:r>
              <w:rPr>
                <w:rFonts w:ascii="Calibri" w:hAnsi="Calibri"/>
                <w:color w:val="1E293B"/>
                <w:sz w:val="18"/>
              </w:rPr>
              <w:t>consecutive_clean_visits, breach_rate_last5, current_any_breach, current_ph_breach, current_chlorine_breach, multi_visit_day</w:t>
            </w:r>
          </w:p>
        </w:tc>
        <w:tc>
          <w:tcPr>
            <w:tcW w:type="dxa" w:w="4032"/>
            <w:tcMar>
              <w:top w:w="80" w:type="dxa"/>
              <w:bottom w:w="80" w:type="dxa"/>
              <w:left w:w="120" w:type="dxa"/>
              <w:right w:w="120" w:type="dxa"/>
            </w:tcMar>
          </w:tcPr>
          <w:p>
            <w:pPr>
              <w:spacing w:before="0" w:after="0" w:line="252" w:lineRule="auto"/>
            </w:pPr>
            <w:r>
              <w:rPr>
                <w:rFonts w:ascii="Calibri" w:hAnsi="Calibri"/>
                <w:color w:val="1E293B"/>
                <w:sz w:val="18"/>
              </w:rPr>
              <w:t>Historical reliability metrics and chronic problem-pool indicators.</w:t>
            </w:r>
          </w:p>
        </w:tc>
      </w:tr>
      <w:tr>
        <w:tc>
          <w:tcPr>
            <w:tcW w:type="dxa" w:w="2160"/>
            <w:shd w:fill="F8FAFC"/>
            <w:tcMar>
              <w:top w:w="80" w:type="dxa"/>
              <w:bottom w:w="80" w:type="dxa"/>
              <w:left w:w="120" w:type="dxa"/>
              <w:right w:w="120" w:type="dxa"/>
            </w:tcMar>
          </w:tcPr>
          <w:p>
            <w:pPr>
              <w:spacing w:before="0" w:after="0" w:line="252" w:lineRule="auto"/>
            </w:pPr>
            <w:r>
              <w:rPr>
                <w:rFonts w:ascii="Calibri" w:hAnsi="Calibri"/>
                <w:color w:val="1E293B"/>
                <w:sz w:val="18"/>
              </w:rPr>
              <w:t>Water Chemistry</w:t>
            </w:r>
          </w:p>
        </w:tc>
        <w:tc>
          <w:tcPr>
            <w:tcW w:type="dxa" w:w="3168"/>
            <w:shd w:fill="F8FAFC"/>
            <w:tcMar>
              <w:top w:w="80" w:type="dxa"/>
              <w:bottom w:w="80" w:type="dxa"/>
              <w:left w:w="120" w:type="dxa"/>
              <w:right w:w="120" w:type="dxa"/>
            </w:tcMar>
          </w:tcPr>
          <w:p>
            <w:pPr>
              <w:spacing w:before="0" w:after="0" w:line="252" w:lineRule="auto"/>
            </w:pPr>
            <w:r>
              <w:rPr>
                <w:rFonts w:ascii="Calibri" w:hAnsi="Calibri"/>
                <w:color w:val="1E293B"/>
                <w:sz w:val="18"/>
              </w:rPr>
              <w:t>ph_deviation (|pH - 7.4|), chlorine_deficit (max(0, 0.5 - Cl)), cl_effectiveness_index (HOCl active fraction), chlorine_dose_per_m3, ph_minus_dose_per_m3, chlorine_decay_per_m3</w:t>
            </w:r>
          </w:p>
        </w:tc>
        <w:tc>
          <w:tcPr>
            <w:tcW w:type="dxa" w:w="4032"/>
            <w:shd w:fill="F8FAFC"/>
            <w:tcMar>
              <w:top w:w="80" w:type="dxa"/>
              <w:bottom w:w="80" w:type="dxa"/>
              <w:left w:w="120" w:type="dxa"/>
              <w:right w:w="120" w:type="dxa"/>
            </w:tcMar>
          </w:tcPr>
          <w:p>
            <w:pPr>
              <w:spacing w:before="0" w:after="0" w:line="252" w:lineRule="auto"/>
            </w:pPr>
            <w:r>
              <w:rPr>
                <w:rFonts w:ascii="Calibri" w:hAnsi="Calibri"/>
                <w:color w:val="1E293B"/>
                <w:sz w:val="18"/>
              </w:rPr>
              <w:t>Physical chemical balance and volume-normalized dosing rates.</w:t>
            </w:r>
          </w:p>
        </w:tc>
      </w:tr>
      <w:tr>
        <w:tc>
          <w:tcPr>
            <w:tcW w:type="dxa" w:w="2160"/>
            <w:tcMar>
              <w:top w:w="80" w:type="dxa"/>
              <w:bottom w:w="80" w:type="dxa"/>
              <w:left w:w="120" w:type="dxa"/>
              <w:right w:w="120" w:type="dxa"/>
            </w:tcMar>
          </w:tcPr>
          <w:p>
            <w:pPr>
              <w:spacing w:before="0" w:after="0" w:line="252" w:lineRule="auto"/>
            </w:pPr>
            <w:r>
              <w:rPr>
                <w:rFonts w:ascii="Calibri" w:hAnsi="Calibri"/>
                <w:color w:val="1E293B"/>
                <w:sz w:val="18"/>
              </w:rPr>
              <w:t>Setpoint Degradation</w:t>
            </w:r>
          </w:p>
        </w:tc>
        <w:tc>
          <w:tcPr>
            <w:tcW w:type="dxa" w:w="3168"/>
            <w:tcMar>
              <w:top w:w="80" w:type="dxa"/>
              <w:bottom w:w="80" w:type="dxa"/>
              <w:left w:w="120" w:type="dxa"/>
              <w:right w:w="120" w:type="dxa"/>
            </w:tcMar>
          </w:tcPr>
          <w:p>
            <w:pPr>
              <w:spacing w:before="0" w:after="0" w:line="252" w:lineRule="auto"/>
            </w:pPr>
            <w:r>
              <w:rPr>
                <w:rFonts w:ascii="Calibri" w:hAnsi="Calibri"/>
                <w:color w:val="1E293B"/>
                <w:sz w:val="18"/>
              </w:rPr>
              <w:t>setpoint_free_chlorine (2.5), setpoint_ph (7.4), setpoint_turbidity (0.5), cl_degradation_from_setpoint, ph_drift_from_setpoint, turb_accumulation_from_setpoint, and respective per-day rates</w:t>
            </w:r>
          </w:p>
        </w:tc>
        <w:tc>
          <w:tcPr>
            <w:tcW w:type="dxa" w:w="4032"/>
            <w:tcMar>
              <w:top w:w="80" w:type="dxa"/>
              <w:bottom w:w="80" w:type="dxa"/>
              <w:left w:w="120" w:type="dxa"/>
              <w:right w:w="120" w:type="dxa"/>
            </w:tcMar>
          </w:tcPr>
          <w:p>
            <w:pPr>
              <w:spacing w:before="0" w:after="0" w:line="252" w:lineRule="auto"/>
            </w:pPr>
            <w:r>
              <w:rPr>
                <w:rFonts w:ascii="Calibri" w:hAnsi="Calibri"/>
                <w:color w:val="1E293B"/>
                <w:sz w:val="18"/>
              </w:rPr>
              <w:t>Quantifies the treat -&gt; degrade -&gt; re-measure cycle from post-treatment ideal.</w:t>
            </w:r>
          </w:p>
        </w:tc>
      </w:tr>
      <w:tr>
        <w:tc>
          <w:tcPr>
            <w:tcW w:type="dxa" w:w="2160"/>
            <w:shd w:fill="F8FAFC"/>
            <w:tcMar>
              <w:top w:w="80" w:type="dxa"/>
              <w:bottom w:w="80" w:type="dxa"/>
              <w:left w:w="120" w:type="dxa"/>
              <w:right w:w="120" w:type="dxa"/>
            </w:tcMar>
          </w:tcPr>
          <w:p>
            <w:pPr>
              <w:spacing w:before="0" w:after="0" w:line="252" w:lineRule="auto"/>
            </w:pPr>
            <w:r>
              <w:rPr>
                <w:rFonts w:ascii="Calibri" w:hAnsi="Calibri"/>
                <w:color w:val="1E293B"/>
                <w:sz w:val="18"/>
              </w:rPr>
              <w:t>Weather Intelligence</w:t>
            </w:r>
          </w:p>
        </w:tc>
        <w:tc>
          <w:tcPr>
            <w:tcW w:type="dxa" w:w="3168"/>
            <w:shd w:fill="F8FAFC"/>
            <w:tcMar>
              <w:top w:w="80" w:type="dxa"/>
              <w:bottom w:w="80" w:type="dxa"/>
              <w:left w:w="120" w:type="dxa"/>
              <w:right w:w="120" w:type="dxa"/>
            </w:tcMar>
          </w:tcPr>
          <w:p>
            <w:pPr>
              <w:spacing w:before="0" w:after="0" w:line="252" w:lineRule="auto"/>
            </w:pPr>
            <w:r>
              <w:rPr>
                <w:rFonts w:ascii="Calibri" w:hAnsi="Calibri"/>
                <w:color w:val="1E293B"/>
                <w:sz w:val="18"/>
              </w:rPr>
              <w:t>9 current weather + 4 cumulative weather + 9 tomorrow forecast features</w:t>
            </w:r>
          </w:p>
        </w:tc>
        <w:tc>
          <w:tcPr>
            <w:tcW w:type="dxa" w:w="4032"/>
            <w:shd w:fill="F8FAFC"/>
            <w:tcMar>
              <w:top w:w="80" w:type="dxa"/>
              <w:bottom w:w="80" w:type="dxa"/>
              <w:left w:w="120" w:type="dxa"/>
              <w:right w:w="120" w:type="dxa"/>
            </w:tcMar>
          </w:tcPr>
          <w:p>
            <w:pPr>
              <w:spacing w:before="0" w:after="0" w:line="252" w:lineRule="auto"/>
            </w:pPr>
            <w:r>
              <w:rPr>
                <w:rFonts w:ascii="Calibri" w:hAnsi="Calibri"/>
                <w:color w:val="1E293B"/>
                <w:sz w:val="18"/>
              </w:rPr>
              <w:t>Atmospheric photolysis, ambient temperature, rainfall, and wind signals.</w:t>
            </w:r>
          </w:p>
        </w:tc>
      </w:tr>
    </w:tbl>
    <w:p>
      <w:pPr>
        <w:spacing w:before="0" w:after="120"/>
      </w:pPr>
    </w:p>
    <w:p>
      <w:pPr>
        <w:keepNext/>
        <w:spacing w:before="440" w:after="160"/>
      </w:pPr>
      <w:r>
        <w:rPr>
          <w:rFonts w:ascii="Calibri" w:hAnsi="Calibri"/>
          <w:b/>
          <w:color w:val="0F2C59"/>
          <w:sz w:val="36"/>
        </w:rPr>
        <w:t>5. Machine Learning Models, Training &amp; Evaluation</w:t>
      </w:r>
    </w:p>
    <w:p>
      <w:pPr>
        <w:keepNext/>
        <w:spacing w:before="320" w:after="120"/>
      </w:pPr>
      <w:r>
        <w:rPr>
          <w:rFonts w:ascii="Calibri" w:hAnsi="Calibri"/>
          <w:b/>
          <w:color w:val="3085C3"/>
          <w:sz w:val="28"/>
        </w:rPr>
        <w:t>5.1 Next-Day Synthetic Target Formulation</w:t>
      </w:r>
    </w:p>
    <w:p>
      <w:pPr>
        <w:spacing w:before="40" w:after="100" w:line="276" w:lineRule="auto"/>
      </w:pPr>
      <w:r>
        <w:rPr>
          <w:rFonts w:ascii="Calibri" w:hAnsi="Calibri"/>
          <w:i w:val="0"/>
          <w:color w:val="1E293B"/>
          <w:sz w:val="21"/>
        </w:rPr>
        <w:t>Because technician visits are spaced k days apart (median k = 3 days), raw next-visit readings cannot be used directly for daily dispatching. The target represents the chemical state on the NEXT CALENDAR DAY (T + 1), linearly interpolated from the assumed post-treatment setpoint: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8"/>
              </w:rPr>
              <w:t>Target_Tomorrow = Setpoint + (Reading_Next_Visit - Setpoint) * (1 / k)</w:t>
            </w:r>
          </w:p>
        </w:tc>
      </w:tr>
    </w:tbl>
    <w:p>
      <w:pPr>
        <w:spacing w:before="0" w:after="80"/>
      </w:pPr>
    </w:p>
    <w:p>
      <w:pPr>
        <w:pStyle w:val="ListBullet"/>
        <w:spacing w:before="20" w:after="60" w:line="276" w:lineRule="auto"/>
        <w:ind w:left="360"/>
      </w:pPr>
      <w:r>
        <w:rPr>
          <w:rFonts w:ascii="Calibri" w:hAnsi="Calibri"/>
          <w:b/>
          <w:color w:val="1E293B"/>
          <w:sz w:val="21"/>
        </w:rPr>
        <w:t xml:space="preserve">Consecutive Visits (k=1): </w:t>
      </w:r>
      <w:r>
        <w:rPr>
          <w:rFonts w:ascii="Calibri" w:hAnsi="Calibri"/>
          <w:color w:val="1E293B"/>
          <w:sz w:val="21"/>
        </w:rPr>
        <w:t>When k = 1 (consecutive day visit), Target_Tomorrow is the exact measured next reading.</w:t>
      </w:r>
    </w:p>
    <w:p>
      <w:pPr>
        <w:pStyle w:val="ListBullet"/>
        <w:spacing w:before="20" w:after="60" w:line="276" w:lineRule="auto"/>
        <w:ind w:left="360"/>
      </w:pPr>
      <w:r>
        <w:rPr>
          <w:rFonts w:ascii="Calibri" w:hAnsi="Calibri"/>
          <w:b/>
          <w:color w:val="1E293B"/>
          <w:sz w:val="21"/>
        </w:rPr>
        <w:t xml:space="preserve">Multi-Day Gaps (k&gt;1): </w:t>
      </w:r>
      <w:r>
        <w:rPr>
          <w:rFonts w:ascii="Calibri" w:hAnsi="Calibri"/>
          <w:color w:val="1E293B"/>
          <w:sz w:val="21"/>
        </w:rPr>
        <w:t>When k = 3, Target_Tomorrow represents exactly 1 day of degradation from the post-treatment setpoint.</w:t>
      </w:r>
    </w:p>
    <w:p>
      <w:pPr>
        <w:pStyle w:val="ListBullet"/>
        <w:spacing w:before="20" w:after="60" w:line="276" w:lineRule="auto"/>
        <w:ind w:left="360"/>
      </w:pPr>
      <w:r>
        <w:rPr>
          <w:rFonts w:ascii="Calibri" w:hAnsi="Calibri"/>
          <w:b/>
          <w:color w:val="1E293B"/>
          <w:sz w:val="21"/>
        </w:rPr>
        <w:t xml:space="preserve">Terminal Visits (NaN gap): </w:t>
      </w:r>
      <w:r>
        <w:rPr>
          <w:rFonts w:ascii="Calibri" w:hAnsi="Calibri"/>
          <w:color w:val="1E293B"/>
          <w:sz w:val="21"/>
        </w:rPr>
        <w:t>When no subsequent visit exists (end of time-series), Target_Tomorrow defaults to 1 day of physical kinetic decay.</w:t>
      </w:r>
    </w:p>
    <w:p>
      <w:pPr>
        <w:keepNext/>
        <w:spacing w:before="320" w:after="120"/>
      </w:pPr>
      <w:r>
        <w:rPr>
          <w:rFonts w:ascii="Calibri" w:hAnsi="Calibri"/>
          <w:b/>
          <w:color w:val="3085C3"/>
          <w:sz w:val="28"/>
        </w:rPr>
        <w:t>5.2 Chronological 80/20 Train/Test Split</w:t>
      </w:r>
    </w:p>
    <w:p>
      <w:pPr>
        <w:spacing w:before="40" w:after="100" w:line="276" w:lineRule="auto"/>
      </w:pPr>
      <w:r>
        <w:rPr>
          <w:rFonts w:ascii="Calibri" w:hAnsi="Calibri"/>
          <w:i w:val="0"/>
          <w:color w:val="1E293B"/>
          <w:sz w:val="21"/>
        </w:rPr>
        <w:t>To strictly avoid temporal data leakage, an 80/20 chronological split is enforced at the 80th percentile timestamp (October 13, 2025):</w:t>
      </w:r>
    </w:p>
    <w:p>
      <w:pPr>
        <w:pStyle w:val="ListBullet"/>
        <w:spacing w:before="20" w:after="60" w:line="276" w:lineRule="auto"/>
        <w:ind w:left="360"/>
      </w:pPr>
      <w:r>
        <w:rPr>
          <w:rFonts w:ascii="Calibri" w:hAnsi="Calibri"/>
          <w:b/>
          <w:color w:val="1E293B"/>
          <w:sz w:val="21"/>
        </w:rPr>
        <w:t xml:space="preserve">Training Partition (80%): </w:t>
      </w:r>
      <w:r>
        <w:rPr>
          <w:rFonts w:ascii="Calibri" w:hAnsi="Calibri"/>
          <w:color w:val="1E293B"/>
          <w:sz w:val="21"/>
        </w:rPr>
        <w:t>28,910 rows covering January 2, 2023 through October 13, 2025.</w:t>
      </w:r>
    </w:p>
    <w:p>
      <w:pPr>
        <w:pStyle w:val="ListBullet"/>
        <w:spacing w:before="20" w:after="60" w:line="276" w:lineRule="auto"/>
        <w:ind w:left="360"/>
      </w:pPr>
      <w:r>
        <w:rPr>
          <w:rFonts w:ascii="Calibri" w:hAnsi="Calibri"/>
          <w:b/>
          <w:color w:val="1E293B"/>
          <w:sz w:val="21"/>
        </w:rPr>
        <w:t xml:space="preserve">Test Holdout Partition (20%): </w:t>
      </w:r>
      <w:r>
        <w:rPr>
          <w:rFonts w:ascii="Calibri" w:hAnsi="Calibri"/>
          <w:color w:val="1E293B"/>
          <w:sz w:val="21"/>
        </w:rPr>
        <w:t>7,228 rows covering October 14, 2025 through August 5, 2026.</w:t>
      </w:r>
    </w:p>
    <w:p>
      <w:pPr>
        <w:keepNext/>
        <w:spacing w:before="320" w:after="120"/>
      </w:pPr>
      <w:r>
        <w:rPr>
          <w:rFonts w:ascii="Calibri" w:hAnsi="Calibri"/>
          <w:b/>
          <w:color w:val="3085C3"/>
          <w:sz w:val="28"/>
        </w:rPr>
        <w:t>5.3 XGBoost Model Configurations &amp; Loss Function</w:t>
      </w:r>
    </w:p>
    <w:p>
      <w:pPr>
        <w:spacing w:before="40" w:after="100" w:line="276" w:lineRule="auto"/>
      </w:pPr>
      <w:r>
        <w:rPr>
          <w:rFonts w:ascii="Calibri" w:hAnsi="Calibri"/>
          <w:i w:val="0"/>
          <w:color w:val="1E293B"/>
          <w:sz w:val="21"/>
        </w:rPr>
        <w:t>Three dedicated XGBoost regressors (Model A: Free Chlorine, Model C: pH, Model D: Turbidity) are trained with shared hyper-parameters:</w:t>
      </w:r>
    </w:p>
    <w:p>
      <w:pPr>
        <w:pStyle w:val="ListBullet"/>
        <w:spacing w:before="20" w:after="60" w:line="276" w:lineRule="auto"/>
        <w:ind w:left="360"/>
      </w:pPr>
      <w:r>
        <w:rPr>
          <w:rFonts w:ascii="Calibri" w:hAnsi="Calibri"/>
          <w:b/>
          <w:color w:val="1E293B"/>
          <w:sz w:val="21"/>
        </w:rPr>
        <w:t xml:space="preserve">Tree Hyper-Parameters: </w:t>
      </w:r>
      <w:r>
        <w:rPr>
          <w:rFonts w:ascii="Calibri" w:hAnsi="Calibri"/>
          <w:color w:val="1E293B"/>
          <w:sz w:val="21"/>
        </w:rPr>
        <w:t>n_estimators=500, max_depth=5, learning_rate=0.05, subsample=0.8, colsample_bytree=0.8, reg_alpha=0.1, reg_lambda=1.0, random_state=42.</w:t>
      </w:r>
    </w:p>
    <w:p>
      <w:pPr>
        <w:pStyle w:val="ListBullet"/>
        <w:spacing w:before="20" w:after="60" w:line="276" w:lineRule="auto"/>
        <w:ind w:left="360"/>
      </w:pPr>
      <w:r>
        <w:rPr>
          <w:rFonts w:ascii="Calibri" w:hAnsi="Calibri"/>
          <w:b/>
          <w:color w:val="1E293B"/>
          <w:sz w:val="21"/>
        </w:rPr>
        <w:t xml:space="preserve">Early Stopping: </w:t>
      </w:r>
      <w:r>
        <w:rPr>
          <w:rFonts w:ascii="Calibri" w:hAnsi="Calibri"/>
          <w:color w:val="1E293B"/>
          <w:sz w:val="21"/>
        </w:rPr>
        <w:t>Early stopping on holdout RMSE with a patience of 50 rounds.</w:t>
      </w:r>
    </w:p>
    <w:p>
      <w:pPr>
        <w:pStyle w:val="ListBullet"/>
        <w:spacing w:before="20" w:after="60" w:line="276" w:lineRule="auto"/>
        <w:ind w:left="360"/>
      </w:pPr>
      <w:r>
        <w:rPr>
          <w:rFonts w:ascii="Calibri" w:hAnsi="Calibri"/>
          <w:b/>
          <w:color w:val="1E293B"/>
          <w:sz w:val="21"/>
        </w:rPr>
        <w:t xml:space="preserve">Breach Sample Weighting: </w:t>
      </w:r>
      <w:r>
        <w:rPr>
          <w:rFonts w:ascii="Calibri" w:hAnsi="Calibri"/>
          <w:color w:val="1E293B"/>
          <w:sz w:val="21"/>
        </w:rPr>
        <w:t>Sample weights for Free Chlorine are amplified by 3.0x on rows where a regulatory breach occurred, forcing the trees to prioritize extreme hazard conditions.</w:t>
      </w:r>
    </w:p>
    <w:p>
      <w:pPr>
        <w:keepNext/>
        <w:spacing w:before="320" w:after="120"/>
      </w:pPr>
      <w:r>
        <w:rPr>
          <w:rFonts w:ascii="Calibri" w:hAnsi="Calibri"/>
          <w:b/>
          <w:color w:val="3085C3"/>
          <w:sz w:val="28"/>
        </w:rPr>
        <w:t>5.4 Verified Model Performance Highlights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37"/>
        <w:gridCol w:w="1337"/>
        <w:gridCol w:w="1337"/>
        <w:gridCol w:w="1337"/>
        <w:gridCol w:w="1337"/>
        <w:gridCol w:w="1337"/>
        <w:gridCol w:w="1337"/>
      </w:tblGrid>
      <w:tr>
        <w:trPr>
          <w:tblHeader/>
        </w:trPr>
        <w:tc>
          <w:tcPr>
            <w:tcW w:type="dxa" w:w="1584"/>
            <w:shd w:fill="0F2C59"/>
            <w:tcMar>
              <w:top w:w="100" w:type="dxa"/>
              <w:bottom w:w="100" w:type="dxa"/>
              <w:left w:w="120" w:type="dxa"/>
              <w:right w:w="120" w:type="dxa"/>
            </w:tcMar>
          </w:tcPr>
          <w:p>
            <w:pPr>
              <w:spacing w:before="0" w:after="0" w:line="240" w:lineRule="auto"/>
            </w:pPr>
            <w:r>
              <w:rPr>
                <w:rFonts w:ascii="Calibri" w:hAnsi="Calibri"/>
                <w:b/>
                <w:color w:val="FFFFFF"/>
                <w:sz w:val="19"/>
              </w:rPr>
              <w:t>Model</w:t>
            </w:r>
          </w:p>
        </w:tc>
        <w:tc>
          <w:tcPr>
            <w:tcW w:type="dxa" w:w="3168"/>
            <w:shd w:fill="0F2C59"/>
            <w:tcMar>
              <w:top w:w="100" w:type="dxa"/>
              <w:bottom w:w="100" w:type="dxa"/>
              <w:left w:w="120" w:type="dxa"/>
              <w:right w:w="120" w:type="dxa"/>
            </w:tcMar>
          </w:tcPr>
          <w:p>
            <w:pPr>
              <w:spacing w:before="0" w:after="0" w:line="240" w:lineRule="auto"/>
            </w:pPr>
            <w:r>
              <w:rPr>
                <w:rFonts w:ascii="Calibri" w:hAnsi="Calibri"/>
                <w:b/>
                <w:color w:val="FFFFFF"/>
                <w:sz w:val="19"/>
              </w:rPr>
              <w:t>Target Variable</w:t>
            </w:r>
          </w:p>
        </w:tc>
        <w:tc>
          <w:tcPr>
            <w:tcW w:type="dxa" w:w="1152"/>
            <w:shd w:fill="0F2C59"/>
            <w:tcMar>
              <w:top w:w="100" w:type="dxa"/>
              <w:bottom w:w="100" w:type="dxa"/>
              <w:left w:w="120" w:type="dxa"/>
              <w:right w:w="120" w:type="dxa"/>
            </w:tcMar>
          </w:tcPr>
          <w:p>
            <w:pPr>
              <w:spacing w:before="0" w:after="0" w:line="240" w:lineRule="auto"/>
            </w:pPr>
            <w:r>
              <w:rPr>
                <w:rFonts w:ascii="Calibri" w:hAnsi="Calibri"/>
                <w:b/>
                <w:color w:val="FFFFFF"/>
                <w:sz w:val="19"/>
              </w:rPr>
              <w:t>MAE</w:t>
            </w:r>
          </w:p>
        </w:tc>
        <w:tc>
          <w:tcPr>
            <w:tcW w:type="dxa" w:w="1152"/>
            <w:shd w:fill="0F2C59"/>
            <w:tcMar>
              <w:top w:w="100" w:type="dxa"/>
              <w:bottom w:w="100" w:type="dxa"/>
              <w:left w:w="120" w:type="dxa"/>
              <w:right w:w="120" w:type="dxa"/>
            </w:tcMar>
          </w:tcPr>
          <w:p>
            <w:pPr>
              <w:spacing w:before="0" w:after="0" w:line="240" w:lineRule="auto"/>
            </w:pPr>
            <w:r>
              <w:rPr>
                <w:rFonts w:ascii="Calibri" w:hAnsi="Calibri"/>
                <w:b/>
                <w:color w:val="FFFFFF"/>
                <w:sz w:val="19"/>
              </w:rPr>
              <w:t>RMSE</w:t>
            </w:r>
          </w:p>
        </w:tc>
        <w:tc>
          <w:tcPr>
            <w:tcW w:type="dxa" w:w="1152"/>
            <w:shd w:fill="0F2C59"/>
            <w:tcMar>
              <w:top w:w="100" w:type="dxa"/>
              <w:bottom w:w="100" w:type="dxa"/>
              <w:left w:w="120" w:type="dxa"/>
              <w:right w:w="120" w:type="dxa"/>
            </w:tcMar>
          </w:tcPr>
          <w:p>
            <w:pPr>
              <w:spacing w:before="0" w:after="0" w:line="240" w:lineRule="auto"/>
            </w:pPr>
            <w:r>
              <w:rPr>
                <w:rFonts w:ascii="Calibri" w:hAnsi="Calibri"/>
                <w:b/>
                <w:color w:val="FFFFFF"/>
                <w:sz w:val="19"/>
              </w:rPr>
              <w:t>R² Score</w:t>
            </w:r>
          </w:p>
        </w:tc>
        <w:tc>
          <w:tcPr>
            <w:tcW w:type="dxa" w:w="1584"/>
            <w:shd w:fill="0F2C59"/>
            <w:tcMar>
              <w:top w:w="100" w:type="dxa"/>
              <w:bottom w:w="100" w:type="dxa"/>
              <w:left w:w="120" w:type="dxa"/>
              <w:right w:w="120" w:type="dxa"/>
            </w:tcMar>
          </w:tcPr>
          <w:p>
            <w:pPr>
              <w:spacing w:before="0" w:after="0" w:line="240" w:lineRule="auto"/>
            </w:pPr>
            <w:r>
              <w:rPr>
                <w:rFonts w:ascii="Calibri" w:hAnsi="Calibri"/>
                <w:b/>
                <w:color w:val="FFFFFF"/>
                <w:sz w:val="19"/>
              </w:rPr>
              <w:t>P90 Error</w:t>
            </w:r>
          </w:p>
        </w:tc>
        <w:tc>
          <w:tcPr>
            <w:tcW w:type="dxa" w:w="1296"/>
            <w:shd w:fill="0F2C59"/>
            <w:tcMar>
              <w:top w:w="100" w:type="dxa"/>
              <w:bottom w:w="100" w:type="dxa"/>
              <w:left w:w="120" w:type="dxa"/>
              <w:right w:w="120" w:type="dxa"/>
            </w:tcMar>
          </w:tcPr>
          <w:p>
            <w:pPr>
              <w:spacing w:before="0" w:after="0" w:line="240" w:lineRule="auto"/>
            </w:pPr>
            <w:r>
              <w:rPr>
                <w:rFonts w:ascii="Calibri" w:hAnsi="Calibri"/>
                <w:b/>
                <w:color w:val="FFFFFF"/>
                <w:sz w:val="19"/>
              </w:rPr>
              <w:t>Best Iteration</w:t>
            </w:r>
          </w:p>
        </w:tc>
      </w:tr>
      <w:tr>
        <w:tc>
          <w:tcPr>
            <w:tcW w:type="dxa" w:w="1584"/>
            <w:tcMar>
              <w:top w:w="80" w:type="dxa"/>
              <w:bottom w:w="80" w:type="dxa"/>
              <w:left w:w="120" w:type="dxa"/>
              <w:right w:w="120" w:type="dxa"/>
            </w:tcMar>
          </w:tcPr>
          <w:p>
            <w:pPr>
              <w:spacing w:before="0" w:after="0" w:line="252" w:lineRule="auto"/>
            </w:pPr>
            <w:r>
              <w:rPr>
                <w:rFonts w:ascii="Calibri" w:hAnsi="Calibri"/>
                <w:color w:val="1E293B"/>
                <w:sz w:val="18"/>
              </w:rPr>
              <w:t>Model A</w:t>
            </w:r>
          </w:p>
        </w:tc>
        <w:tc>
          <w:tcPr>
            <w:tcW w:type="dxa" w:w="3168"/>
            <w:tcMar>
              <w:top w:w="80" w:type="dxa"/>
              <w:bottom w:w="80" w:type="dxa"/>
              <w:left w:w="120" w:type="dxa"/>
              <w:right w:w="120" w:type="dxa"/>
            </w:tcMar>
          </w:tcPr>
          <w:p>
            <w:pPr>
              <w:spacing w:before="0" w:after="0" w:line="252" w:lineRule="auto"/>
            </w:pPr>
            <w:r>
              <w:rPr>
                <w:rFonts w:ascii="Calibri" w:hAnsi="Calibri"/>
                <w:color w:val="1E293B"/>
                <w:sz w:val="18"/>
              </w:rPr>
              <w:t>Free Chlorine Tomorrow (mg/L)</w:t>
            </w:r>
          </w:p>
        </w:tc>
        <w:tc>
          <w:tcPr>
            <w:tcW w:type="dxa" w:w="1152"/>
            <w:tcMar>
              <w:top w:w="80" w:type="dxa"/>
              <w:bottom w:w="80" w:type="dxa"/>
              <w:left w:w="120" w:type="dxa"/>
              <w:right w:w="120" w:type="dxa"/>
            </w:tcMar>
          </w:tcPr>
          <w:p>
            <w:pPr>
              <w:spacing w:before="0" w:after="0" w:line="252" w:lineRule="auto"/>
            </w:pPr>
            <w:r>
              <w:rPr>
                <w:rFonts w:ascii="Calibri" w:hAnsi="Calibri"/>
                <w:color w:val="1E293B"/>
                <w:sz w:val="18"/>
              </w:rPr>
              <w:t>0.1972</w:t>
            </w:r>
          </w:p>
        </w:tc>
        <w:tc>
          <w:tcPr>
            <w:tcW w:type="dxa" w:w="1152"/>
            <w:tcMar>
              <w:top w:w="80" w:type="dxa"/>
              <w:bottom w:w="80" w:type="dxa"/>
              <w:left w:w="120" w:type="dxa"/>
              <w:right w:w="120" w:type="dxa"/>
            </w:tcMar>
          </w:tcPr>
          <w:p>
            <w:pPr>
              <w:spacing w:before="0" w:after="0" w:line="252" w:lineRule="auto"/>
            </w:pPr>
            <w:r>
              <w:rPr>
                <w:rFonts w:ascii="Calibri" w:hAnsi="Calibri"/>
                <w:color w:val="1E293B"/>
                <w:sz w:val="18"/>
              </w:rPr>
              <w:t>0.3447</w:t>
            </w:r>
          </w:p>
        </w:tc>
        <w:tc>
          <w:tcPr>
            <w:tcW w:type="dxa" w:w="1152"/>
            <w:tcMar>
              <w:top w:w="80" w:type="dxa"/>
              <w:bottom w:w="80" w:type="dxa"/>
              <w:left w:w="120" w:type="dxa"/>
              <w:right w:w="120" w:type="dxa"/>
            </w:tcMar>
          </w:tcPr>
          <w:p>
            <w:pPr>
              <w:spacing w:before="0" w:after="0" w:line="252" w:lineRule="auto"/>
            </w:pPr>
            <w:r>
              <w:rPr>
                <w:rFonts w:ascii="Calibri" w:hAnsi="Calibri"/>
                <w:color w:val="1E293B"/>
                <w:sz w:val="18"/>
              </w:rPr>
              <w:t>0.2571</w:t>
            </w:r>
          </w:p>
        </w:tc>
        <w:tc>
          <w:tcPr>
            <w:tcW w:type="dxa" w:w="1584"/>
            <w:tcMar>
              <w:top w:w="80" w:type="dxa"/>
              <w:bottom w:w="80" w:type="dxa"/>
              <w:left w:w="120" w:type="dxa"/>
              <w:right w:w="120" w:type="dxa"/>
            </w:tcMar>
          </w:tcPr>
          <w:p>
            <w:pPr>
              <w:spacing w:before="0" w:after="0" w:line="252" w:lineRule="auto"/>
            </w:pPr>
            <w:r>
              <w:rPr>
                <w:rFonts w:ascii="Calibri" w:hAnsi="Calibri"/>
                <w:color w:val="1E293B"/>
                <w:sz w:val="18"/>
              </w:rPr>
              <w:t>0.4503 mg/L</w:t>
            </w:r>
          </w:p>
        </w:tc>
        <w:tc>
          <w:tcPr>
            <w:tcW w:type="dxa" w:w="1296"/>
            <w:tcMar>
              <w:top w:w="80" w:type="dxa"/>
              <w:bottom w:w="80" w:type="dxa"/>
              <w:left w:w="120" w:type="dxa"/>
              <w:right w:w="120" w:type="dxa"/>
            </w:tcMar>
          </w:tcPr>
          <w:p>
            <w:pPr>
              <w:spacing w:before="0" w:after="0" w:line="252" w:lineRule="auto"/>
            </w:pPr>
            <w:r>
              <w:rPr>
                <w:rFonts w:ascii="Calibri" w:hAnsi="Calibri"/>
                <w:color w:val="1E293B"/>
                <w:sz w:val="18"/>
              </w:rPr>
              <w:t>118 trees</w:t>
            </w:r>
          </w:p>
        </w:tc>
      </w:tr>
      <w:tr>
        <w:tc>
          <w:tcPr>
            <w:tcW w:type="dxa" w:w="1584"/>
            <w:shd w:fill="F8FAFC"/>
            <w:tcMar>
              <w:top w:w="80" w:type="dxa"/>
              <w:bottom w:w="80" w:type="dxa"/>
              <w:left w:w="120" w:type="dxa"/>
              <w:right w:w="120" w:type="dxa"/>
            </w:tcMar>
          </w:tcPr>
          <w:p>
            <w:pPr>
              <w:spacing w:before="0" w:after="0" w:line="252" w:lineRule="auto"/>
            </w:pPr>
            <w:r>
              <w:rPr>
                <w:rFonts w:ascii="Calibri" w:hAnsi="Calibri"/>
                <w:color w:val="1E293B"/>
                <w:sz w:val="18"/>
              </w:rPr>
              <w:t>Model C</w:t>
            </w:r>
          </w:p>
        </w:tc>
        <w:tc>
          <w:tcPr>
            <w:tcW w:type="dxa" w:w="3168"/>
            <w:shd w:fill="F8FAFC"/>
            <w:tcMar>
              <w:top w:w="80" w:type="dxa"/>
              <w:bottom w:w="80" w:type="dxa"/>
              <w:left w:w="120" w:type="dxa"/>
              <w:right w:w="120" w:type="dxa"/>
            </w:tcMar>
          </w:tcPr>
          <w:p>
            <w:pPr>
              <w:spacing w:before="0" w:after="0" w:line="252" w:lineRule="auto"/>
            </w:pPr>
            <w:r>
              <w:rPr>
                <w:rFonts w:ascii="Calibri" w:hAnsi="Calibri"/>
                <w:color w:val="1E293B"/>
                <w:sz w:val="18"/>
              </w:rPr>
              <w:t>pH Tomorrow (pH units)</w:t>
            </w:r>
          </w:p>
        </w:tc>
        <w:tc>
          <w:tcPr>
            <w:tcW w:type="dxa" w:w="1152"/>
            <w:shd w:fill="F8FAFC"/>
            <w:tcMar>
              <w:top w:w="80" w:type="dxa"/>
              <w:bottom w:w="80" w:type="dxa"/>
              <w:left w:w="120" w:type="dxa"/>
              <w:right w:w="120" w:type="dxa"/>
            </w:tcMar>
          </w:tcPr>
          <w:p>
            <w:pPr>
              <w:spacing w:before="0" w:after="0" w:line="252" w:lineRule="auto"/>
            </w:pPr>
            <w:r>
              <w:rPr>
                <w:rFonts w:ascii="Calibri" w:hAnsi="Calibri"/>
                <w:color w:val="1E293B"/>
                <w:sz w:val="18"/>
              </w:rPr>
              <w:t>0.0332</w:t>
            </w:r>
          </w:p>
        </w:tc>
        <w:tc>
          <w:tcPr>
            <w:tcW w:type="dxa" w:w="1152"/>
            <w:shd w:fill="F8FAFC"/>
            <w:tcMar>
              <w:top w:w="80" w:type="dxa"/>
              <w:bottom w:w="80" w:type="dxa"/>
              <w:left w:w="120" w:type="dxa"/>
              <w:right w:w="120" w:type="dxa"/>
            </w:tcMar>
          </w:tcPr>
          <w:p>
            <w:pPr>
              <w:spacing w:before="0" w:after="0" w:line="252" w:lineRule="auto"/>
            </w:pPr>
            <w:r>
              <w:rPr>
                <w:rFonts w:ascii="Calibri" w:hAnsi="Calibri"/>
                <w:color w:val="1E293B"/>
                <w:sz w:val="18"/>
              </w:rPr>
              <w:t>0.0538</w:t>
            </w:r>
          </w:p>
        </w:tc>
        <w:tc>
          <w:tcPr>
            <w:tcW w:type="dxa" w:w="1152"/>
            <w:shd w:fill="F8FAFC"/>
            <w:tcMar>
              <w:top w:w="80" w:type="dxa"/>
              <w:bottom w:w="80" w:type="dxa"/>
              <w:left w:w="120" w:type="dxa"/>
              <w:right w:w="120" w:type="dxa"/>
            </w:tcMar>
          </w:tcPr>
          <w:p>
            <w:pPr>
              <w:spacing w:before="0" w:after="0" w:line="252" w:lineRule="auto"/>
            </w:pPr>
            <w:r>
              <w:rPr>
                <w:rFonts w:ascii="Calibri" w:hAnsi="Calibri"/>
                <w:color w:val="1E293B"/>
                <w:sz w:val="18"/>
              </w:rPr>
              <w:t>0.2974</w:t>
            </w:r>
          </w:p>
        </w:tc>
        <w:tc>
          <w:tcPr>
            <w:tcW w:type="dxa" w:w="1584"/>
            <w:shd w:fill="F8FAFC"/>
            <w:tcMar>
              <w:top w:w="80" w:type="dxa"/>
              <w:bottom w:w="80" w:type="dxa"/>
              <w:left w:w="120" w:type="dxa"/>
              <w:right w:w="120" w:type="dxa"/>
            </w:tcMar>
          </w:tcPr>
          <w:p>
            <w:pPr>
              <w:spacing w:before="0" w:after="0" w:line="252" w:lineRule="auto"/>
            </w:pPr>
            <w:r>
              <w:rPr>
                <w:rFonts w:ascii="Calibri" w:hAnsi="Calibri"/>
                <w:color w:val="1E293B"/>
                <w:sz w:val="18"/>
              </w:rPr>
              <w:t>0.0811 pH</w:t>
            </w:r>
          </w:p>
        </w:tc>
        <w:tc>
          <w:tcPr>
            <w:tcW w:type="dxa" w:w="1296"/>
            <w:shd w:fill="F8FAFC"/>
            <w:tcMar>
              <w:top w:w="80" w:type="dxa"/>
              <w:bottom w:w="80" w:type="dxa"/>
              <w:left w:w="120" w:type="dxa"/>
              <w:right w:w="120" w:type="dxa"/>
            </w:tcMar>
          </w:tcPr>
          <w:p>
            <w:pPr>
              <w:spacing w:before="0" w:after="0" w:line="252" w:lineRule="auto"/>
            </w:pPr>
            <w:r>
              <w:rPr>
                <w:rFonts w:ascii="Calibri" w:hAnsi="Calibri"/>
                <w:color w:val="1E293B"/>
                <w:sz w:val="18"/>
              </w:rPr>
              <w:t>52 trees</w:t>
            </w:r>
          </w:p>
        </w:tc>
      </w:tr>
      <w:tr>
        <w:tc>
          <w:tcPr>
            <w:tcW w:type="dxa" w:w="1584"/>
            <w:tcMar>
              <w:top w:w="80" w:type="dxa"/>
              <w:bottom w:w="80" w:type="dxa"/>
              <w:left w:w="120" w:type="dxa"/>
              <w:right w:w="120" w:type="dxa"/>
            </w:tcMar>
          </w:tcPr>
          <w:p>
            <w:pPr>
              <w:spacing w:before="0" w:after="0" w:line="252" w:lineRule="auto"/>
            </w:pPr>
            <w:r>
              <w:rPr>
                <w:rFonts w:ascii="Calibri" w:hAnsi="Calibri"/>
                <w:color w:val="1E293B"/>
                <w:sz w:val="18"/>
              </w:rPr>
              <w:t>Model D</w:t>
            </w:r>
          </w:p>
        </w:tc>
        <w:tc>
          <w:tcPr>
            <w:tcW w:type="dxa" w:w="3168"/>
            <w:tcMar>
              <w:top w:w="80" w:type="dxa"/>
              <w:bottom w:w="80" w:type="dxa"/>
              <w:left w:w="120" w:type="dxa"/>
              <w:right w:w="120" w:type="dxa"/>
            </w:tcMar>
          </w:tcPr>
          <w:p>
            <w:pPr>
              <w:spacing w:before="0" w:after="0" w:line="252" w:lineRule="auto"/>
            </w:pPr>
            <w:r>
              <w:rPr>
                <w:rFonts w:ascii="Calibri" w:hAnsi="Calibri"/>
                <w:color w:val="1E293B"/>
                <w:sz w:val="18"/>
              </w:rPr>
              <w:t>Turbidity Tomorrow (NTU)</w:t>
            </w:r>
          </w:p>
        </w:tc>
        <w:tc>
          <w:tcPr>
            <w:tcW w:type="dxa" w:w="1152"/>
            <w:tcMar>
              <w:top w:w="80" w:type="dxa"/>
              <w:bottom w:w="80" w:type="dxa"/>
              <w:left w:w="120" w:type="dxa"/>
              <w:right w:w="120" w:type="dxa"/>
            </w:tcMar>
          </w:tcPr>
          <w:p>
            <w:pPr>
              <w:spacing w:before="0" w:after="0" w:line="252" w:lineRule="auto"/>
            </w:pPr>
            <w:r>
              <w:rPr>
                <w:rFonts w:ascii="Calibri" w:hAnsi="Calibri"/>
                <w:color w:val="1E293B"/>
                <w:sz w:val="18"/>
              </w:rPr>
              <w:t>0.0420</w:t>
            </w:r>
          </w:p>
        </w:tc>
        <w:tc>
          <w:tcPr>
            <w:tcW w:type="dxa" w:w="1152"/>
            <w:tcMar>
              <w:top w:w="80" w:type="dxa"/>
              <w:bottom w:w="80" w:type="dxa"/>
              <w:left w:w="120" w:type="dxa"/>
              <w:right w:w="120" w:type="dxa"/>
            </w:tcMar>
          </w:tcPr>
          <w:p>
            <w:pPr>
              <w:spacing w:before="0" w:after="0" w:line="252" w:lineRule="auto"/>
            </w:pPr>
            <w:r>
              <w:rPr>
                <w:rFonts w:ascii="Calibri" w:hAnsi="Calibri"/>
                <w:color w:val="1E293B"/>
                <w:sz w:val="18"/>
              </w:rPr>
              <w:t>0.0777</w:t>
            </w:r>
          </w:p>
        </w:tc>
        <w:tc>
          <w:tcPr>
            <w:tcW w:type="dxa" w:w="1152"/>
            <w:tcMar>
              <w:top w:w="80" w:type="dxa"/>
              <w:bottom w:w="80" w:type="dxa"/>
              <w:left w:w="120" w:type="dxa"/>
              <w:right w:w="120" w:type="dxa"/>
            </w:tcMar>
          </w:tcPr>
          <w:p>
            <w:pPr>
              <w:spacing w:before="0" w:after="0" w:line="252" w:lineRule="auto"/>
            </w:pPr>
            <w:r>
              <w:rPr>
                <w:rFonts w:ascii="Calibri" w:hAnsi="Calibri"/>
                <w:color w:val="1E293B"/>
                <w:sz w:val="18"/>
              </w:rPr>
              <w:t>0.4013</w:t>
            </w:r>
          </w:p>
        </w:tc>
        <w:tc>
          <w:tcPr>
            <w:tcW w:type="dxa" w:w="1584"/>
            <w:tcMar>
              <w:top w:w="80" w:type="dxa"/>
              <w:bottom w:w="80" w:type="dxa"/>
              <w:left w:w="120" w:type="dxa"/>
              <w:right w:w="120" w:type="dxa"/>
            </w:tcMar>
          </w:tcPr>
          <w:p>
            <w:pPr>
              <w:spacing w:before="0" w:after="0" w:line="252" w:lineRule="auto"/>
            </w:pPr>
            <w:r>
              <w:rPr>
                <w:rFonts w:ascii="Calibri" w:hAnsi="Calibri"/>
                <w:color w:val="1E293B"/>
                <w:sz w:val="18"/>
              </w:rPr>
              <w:t>0.0940 NTU</w:t>
            </w:r>
          </w:p>
        </w:tc>
        <w:tc>
          <w:tcPr>
            <w:tcW w:type="dxa" w:w="1296"/>
            <w:tcMar>
              <w:top w:w="80" w:type="dxa"/>
              <w:bottom w:w="80" w:type="dxa"/>
              <w:left w:w="120" w:type="dxa"/>
              <w:right w:w="120" w:type="dxa"/>
            </w:tcMar>
          </w:tcPr>
          <w:p>
            <w:pPr>
              <w:spacing w:before="0" w:after="0" w:line="252" w:lineRule="auto"/>
            </w:pPr>
            <w:r>
              <w:rPr>
                <w:rFonts w:ascii="Calibri" w:hAnsi="Calibri"/>
                <w:color w:val="1E293B"/>
                <w:sz w:val="18"/>
              </w:rPr>
              <w:t>21 trees</w:t>
            </w:r>
          </w:p>
        </w:tc>
      </w:tr>
    </w:tbl>
    <w:p>
      <w:pPr>
        <w:spacing w:before="0" w:after="120"/>
      </w:pPr>
    </w:p>
    <w:p>
      <w:pPr>
        <w:spacing w:before="40" w:after="100" w:line="276" w:lineRule="auto"/>
      </w:pPr>
      <w:r>
        <w:rPr>
          <w:rFonts w:ascii="Calibri" w:hAnsi="Calibri"/>
          <w:i w:val="0"/>
          <w:color w:val="1E293B"/>
          <w:sz w:val="21"/>
        </w:rPr>
        <w:t>Operational Precision Context: A pH MAE of 0.0332 is well within standard handheld electronic pH meter accuracy (±0.10 pH units). Free Chlorine MAE of 0.1972 mg/L provides tight tracking for dispatching dosing adjustments before pathogen (0.5 mg/L) or closure (5.0 mg/L) thresholds are breached.</w:t>
      </w:r>
    </w:p>
    <w:p>
      <w:pPr>
        <w:keepNext/>
        <w:spacing w:before="440" w:after="160"/>
      </w:pPr>
      <w:r>
        <w:rPr>
          <w:rFonts w:ascii="Calibri" w:hAnsi="Calibri"/>
          <w:b/>
          <w:color w:val="0F2C59"/>
          <w:sz w:val="36"/>
        </w:rPr>
        <w:t>6. Physical Kinetics Rate Integration Engine</w:t>
      </w:r>
    </w:p>
    <w:p>
      <w:pPr>
        <w:spacing w:before="40" w:after="100" w:line="276" w:lineRule="auto"/>
      </w:pPr>
      <w:r>
        <w:rPr>
          <w:rFonts w:ascii="Calibri" w:hAnsi="Calibri"/>
          <w:i w:val="0"/>
          <w:color w:val="1E293B"/>
          <w:sz w:val="21"/>
        </w:rPr>
        <w:t>A pure machine learning model trained on historical data can suffer from non-physical extrapolations under extreme weather. The V6 system implements a hybrid physics-ML integration engine that couples XGBoost predictions with first-principles physical chemistry:</w:t>
      </w:r>
    </w:p>
    <w:p>
      <w:pPr>
        <w:keepNext/>
        <w:spacing w:before="320" w:after="120"/>
      </w:pPr>
      <w:r>
        <w:rPr>
          <w:rFonts w:ascii="Calibri" w:hAnsi="Calibri"/>
          <w:b/>
          <w:color w:val="3085C3"/>
          <w:sz w:val="28"/>
        </w:rPr>
        <w:t>6.1 UV Photolysis First-Order Chlorine Decay</w:t>
      </w:r>
    </w:p>
    <w:p>
      <w:pPr>
        <w:spacing w:before="40" w:after="100" w:line="276" w:lineRule="auto"/>
      </w:pPr>
      <w:r>
        <w:rPr>
          <w:rFonts w:ascii="Calibri" w:hAnsi="Calibri"/>
          <w:i w:val="0"/>
          <w:color w:val="1E293B"/>
          <w:sz w:val="21"/>
        </w:rPr>
        <w:t>In the absence of newly applied chlorine, hypochlorous acid (HOCl) decomposes under ultraviolet light according to first-order solar decay kinetics: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8"/>
              </w:rPr>
              <w:t>decay_k = 0.15 + 0.003 * max(0, solar_radiation - 15.0)</w:t>
              <w:br/>
              <w:t>Cl_kinetic = Anchor_Cl * exp(-decay_k / 3.0)</w:t>
              <w:br/>
              <w:t>Pred_Cl = max(0.0, min(Raw_XGB_Cl, Cl_kinetic))</w:t>
            </w:r>
          </w:p>
        </w:tc>
      </w:tr>
    </w:tbl>
    <w:p>
      <w:pPr>
        <w:spacing w:before="0" w:after="80"/>
      </w:pPr>
    </w:p>
    <w:p>
      <w:pPr>
        <w:spacing w:before="40" w:after="100" w:line="276" w:lineRule="auto"/>
      </w:pPr>
      <w:r>
        <w:rPr>
          <w:rFonts w:ascii="Calibri" w:hAnsi="Calibri"/>
          <w:i w:val="0"/>
          <w:color w:val="1E293B"/>
          <w:sz w:val="21"/>
        </w:rPr>
        <w:t>Mechanism: Solar radiation above 15 MJ/m² linearly accelerates decay. If no chemical product was added, the predicted chlorine is bounded by the physical kinetic ceiling.</w:t>
      </w:r>
    </w:p>
    <w:p>
      <w:pPr>
        <w:keepNext/>
        <w:spacing w:before="320" w:after="120"/>
      </w:pPr>
      <w:r>
        <w:rPr>
          <w:rFonts w:ascii="Calibri" w:hAnsi="Calibri"/>
          <w:b/>
          <w:color w:val="3085C3"/>
          <w:sz w:val="28"/>
        </w:rPr>
        <w:t>6.2 Temperature-Driven CO2 Degassing &amp; Carbonate pH Drift</w:t>
      </w:r>
    </w:p>
    <w:p>
      <w:pPr>
        <w:spacing w:before="40" w:after="100" w:line="276" w:lineRule="auto"/>
      </w:pPr>
      <w:r>
        <w:rPr>
          <w:rFonts w:ascii="Calibri" w:hAnsi="Calibri"/>
          <w:i w:val="0"/>
          <w:color w:val="1E293B"/>
          <w:sz w:val="21"/>
        </w:rPr>
        <w:t>Water exposed to ambient aeration and elevated summer temperature loses dissolved carbon dioxide, causing a natural upward drift in pH:</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8"/>
              </w:rPr>
              <w:t>daily_ph_drift = 0.035 + 0.0015 * max(0, temp_max - 25.0)</w:t>
              <w:br/>
              <w:t>pH_kinetic = Anchor_pH + daily_ph_drift</w:t>
              <w:br/>
              <w:t>Pred_pH = min(8.6, max(Raw_XGB_pH, pH_kinetic))</w:t>
            </w:r>
          </w:p>
        </w:tc>
      </w:tr>
    </w:tbl>
    <w:p>
      <w:pPr>
        <w:spacing w:before="0" w:after="80"/>
      </w:pPr>
    </w:p>
    <w:p>
      <w:pPr>
        <w:spacing w:before="40" w:after="100" w:line="276" w:lineRule="auto"/>
      </w:pPr>
      <w:r>
        <w:rPr>
          <w:rFonts w:ascii="Calibri" w:hAnsi="Calibri"/>
          <w:i w:val="0"/>
          <w:color w:val="1E293B"/>
          <w:sz w:val="21"/>
        </w:rPr>
        <w:t>Mechanism: In Spanish summer heat (&gt;25°C), pH naturally drifts upward at +0.035 to +0.060 units/day. Unless acid (pH Minus) is applied, the prediction is bounded below by this thermodynamic baseline.</w:t>
      </w:r>
    </w:p>
    <w:p>
      <w:pPr>
        <w:keepNext/>
        <w:spacing w:before="320" w:after="120"/>
      </w:pPr>
      <w:r>
        <w:rPr>
          <w:rFonts w:ascii="Calibri" w:hAnsi="Calibri"/>
          <w:b/>
          <w:color w:val="3085C3"/>
          <w:sz w:val="28"/>
        </w:rPr>
        <w:t>6.3 Wind-Borne Environmental Turbidity Accumulation</w:t>
      </w:r>
    </w:p>
    <w:p>
      <w:pPr>
        <w:spacing w:before="40" w:after="100" w:line="276" w:lineRule="auto"/>
      </w:pPr>
      <w:r>
        <w:rPr>
          <w:rFonts w:ascii="Calibri" w:hAnsi="Calibri"/>
          <w:i w:val="0"/>
          <w:color w:val="1E293B"/>
          <w:sz w:val="21"/>
        </w:rPr>
        <w:t>Atmospheric dust and wind-borne debris continuously deposit particulate matter into outdoor pools: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8"/>
              </w:rPr>
              <w:t>daily_turb_rise = 0.045 + 0.002 * max(0, wind_speed_max - 10.0)</w:t>
              <w:br/>
              <w:t>Turb_kinetic = Anchor_Turb + daily_turb_rise</w:t>
              <w:br/>
              <w:t>Pred_Turb = min(5.0, max(Raw_XGB_Turb, Turb_kinetic))</w:t>
            </w:r>
          </w:p>
        </w:tc>
      </w:tr>
    </w:tbl>
    <w:p>
      <w:pPr>
        <w:spacing w:before="0" w:after="80"/>
      </w:pPr>
    </w:p>
    <w:p>
      <w:pPr>
        <w:keepNext/>
        <w:spacing w:before="440" w:after="160"/>
      </w:pPr>
      <w:r>
        <w:rPr>
          <w:rFonts w:ascii="Calibri" w:hAnsi="Calibri"/>
          <w:b/>
          <w:color w:val="0F2C59"/>
          <w:sz w:val="36"/>
        </w:rPr>
        <w:t>7. Chained Multi-Step Daily Forecasting Engine</w:t>
      </w:r>
    </w:p>
    <w:p>
      <w:pPr>
        <w:spacing w:before="40" w:after="100" w:line="276" w:lineRule="auto"/>
      </w:pPr>
      <w:r>
        <w:rPr>
          <w:rFonts w:ascii="Calibri" w:hAnsi="Calibri"/>
          <w:i w:val="0"/>
          <w:color w:val="1E293B"/>
          <w:sz w:val="21"/>
        </w:rPr>
        <w:t>When an operator opens the dashboard on Thursday for a pool last visited on Monday, a single 1-step prediction is useless. The Chained Multi-Step Predictor ('ml/inference/predictor.py') executes a sequential rollout across all intervening calendar days: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8"/>
              </w:rPr>
              <w:t>Monday (Actual Last Visit Measured Reading)</w:t>
              <w:br/>
              <w:t xml:space="preserve">  └── Step 1: Predict Tuesday   (Inject Tuesday actual weather; update lags &amp; setpoint drift)</w:t>
              <w:br/>
              <w:t xml:space="preserve">        └── Step 2: Predict Wednesday (Inject Wednesday actual weather; roll state forward)</w:t>
              <w:br/>
              <w:t xml:space="preserve">              └── Step 3: Predict Thursday [TODAY] (Inject Thursday live weather)</w:t>
              <w:br/>
              <w:t xml:space="preserve">                    └── Step 4: Predict Friday [TOMORROW] (Inject Friday Open-Meteo forecast)</w:t>
            </w:r>
          </w:p>
        </w:tc>
      </w:tr>
    </w:tbl>
    <w:p>
      <w:pPr>
        <w:spacing w:before="0" w:after="80"/>
      </w:pPr>
    </w:p>
    <w:p>
      <w:pPr>
        <w:keepNext/>
        <w:spacing w:before="320" w:after="120"/>
      </w:pPr>
      <w:r>
        <w:rPr>
          <w:rFonts w:ascii="Calibri" w:hAnsi="Calibri"/>
          <w:b/>
          <w:color w:val="3085C3"/>
          <w:sz w:val="28"/>
        </w:rPr>
        <w:t>7.1 Dynamic State Recalculation at Each Step</w:t>
      </w:r>
    </w:p>
    <w:p>
      <w:pPr>
        <w:spacing w:before="40" w:after="100" w:line="276" w:lineRule="auto"/>
      </w:pPr>
      <w:r>
        <w:rPr>
          <w:rFonts w:ascii="Calibri" w:hAnsi="Calibri"/>
          <w:i w:val="0"/>
          <w:color w:val="1E293B"/>
          <w:sz w:val="21"/>
        </w:rPr>
        <w:t>At each iteration t -&gt; t + 1:</w:t>
      </w:r>
    </w:p>
    <w:p>
      <w:pPr>
        <w:pStyle w:val="ListBullet"/>
        <w:spacing w:before="20" w:after="60" w:line="276" w:lineRule="auto"/>
        <w:ind w:left="360"/>
      </w:pPr>
      <w:r>
        <w:rPr>
          <w:rFonts w:ascii="Calibri" w:hAnsi="Calibri"/>
          <w:b/>
          <w:color w:val="1E293B"/>
          <w:sz w:val="21"/>
        </w:rPr>
        <w:t xml:space="preserve">Autoregressive Feedback: </w:t>
      </w:r>
      <w:r>
        <w:rPr>
          <w:rFonts w:ascii="Calibri" w:hAnsi="Calibri"/>
          <w:color w:val="1E293B"/>
          <w:sz w:val="21"/>
        </w:rPr>
        <w:t>The predicted chemical concentrations (Cl_t, pH_t, Turb_t) become the inputs for step t + 1.</w:t>
      </w:r>
    </w:p>
    <w:p>
      <w:pPr>
        <w:pStyle w:val="ListBullet"/>
        <w:spacing w:before="20" w:after="60" w:line="276" w:lineRule="auto"/>
        <w:ind w:left="360"/>
      </w:pPr>
      <w:r>
        <w:rPr>
          <w:rFonts w:ascii="Calibri" w:hAnsi="Calibri"/>
          <w:b/>
          <w:color w:val="1E293B"/>
          <w:sz w:val="21"/>
        </w:rPr>
        <w:t xml:space="preserve">Lag &amp; Rolling Updates: </w:t>
      </w:r>
      <w:r>
        <w:rPr>
          <w:rFonts w:ascii="Calibri" w:hAnsi="Calibri"/>
          <w:color w:val="1E293B"/>
          <w:sz w:val="21"/>
        </w:rPr>
        <w:t>chlorine_lag1, ph_lag1, rolling 3-visit means, and standard deviations are dynamically updated.</w:t>
      </w:r>
    </w:p>
    <w:p>
      <w:pPr>
        <w:pStyle w:val="ListBullet"/>
        <w:spacing w:before="20" w:after="60" w:line="276" w:lineRule="auto"/>
        <w:ind w:left="360"/>
      </w:pPr>
      <w:r>
        <w:rPr>
          <w:rFonts w:ascii="Calibri" w:hAnsi="Calibri"/>
          <w:b/>
          <w:color w:val="1E293B"/>
          <w:sz w:val="21"/>
        </w:rPr>
        <w:t xml:space="preserve">Headroom &amp; Trend Recalculation: </w:t>
      </w:r>
      <w:r>
        <w:rPr>
          <w:rFonts w:ascii="Calibri" w:hAnsi="Calibri"/>
          <w:color w:val="1E293B"/>
          <w:sz w:val="21"/>
        </w:rPr>
        <w:t>Headrooms (chlorine_headroom_low, etc.) and trend rates are recalculated against the new state.</w:t>
      </w:r>
    </w:p>
    <w:p>
      <w:pPr>
        <w:pStyle w:val="ListBullet"/>
        <w:spacing w:before="20" w:after="60" w:line="276" w:lineRule="auto"/>
        <w:ind w:left="360"/>
      </w:pPr>
      <w:r>
        <w:rPr>
          <w:rFonts w:ascii="Calibri" w:hAnsi="Calibri"/>
          <w:b/>
          <w:color w:val="1E293B"/>
          <w:sz w:val="21"/>
        </w:rPr>
        <w:t xml:space="preserve">Weather Injection: </w:t>
      </w:r>
      <w:r>
        <w:rPr>
          <w:rFonts w:ascii="Calibri" w:hAnsi="Calibri"/>
          <w:color w:val="1E293B"/>
          <w:sz w:val="21"/>
        </w:rPr>
        <w:t>The exact historical or forecasted weather for day t and t + 1 is retrieved from the weather cache.</w:t>
      </w:r>
    </w:p>
    <w:p>
      <w:pPr>
        <w:keepNext/>
        <w:spacing w:before="320" w:after="120"/>
      </w:pPr>
      <w:r>
        <w:rPr>
          <w:rFonts w:ascii="Calibri" w:hAnsi="Calibri"/>
          <w:b/>
          <w:color w:val="3085C3"/>
          <w:sz w:val="28"/>
        </w:rPr>
        <w:t>7.2 Uncertainty Fan-Out Estimation</w:t>
      </w:r>
    </w:p>
    <w:p>
      <w:pPr>
        <w:spacing w:before="40" w:after="100" w:line="276" w:lineRule="auto"/>
      </w:pPr>
      <w:r>
        <w:rPr>
          <w:rFonts w:ascii="Calibri" w:hAnsi="Calibri"/>
          <w:i w:val="0"/>
          <w:color w:val="1E293B"/>
          <w:sz w:val="21"/>
        </w:rPr>
        <w:t>Because forecast uncertainty compounds over time, each day step is assigned an UncertaintyBand: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8"/>
              </w:rPr>
              <w:t>Band_Width(step) = Base_MAE * sqrt(step)</w:t>
            </w:r>
          </w:p>
        </w:tc>
      </w:tr>
    </w:tbl>
    <w:p>
      <w:pPr>
        <w:spacing w:before="0" w:after="80"/>
      </w:pPr>
    </w:p>
    <w:p>
      <w:pPr>
        <w:spacing w:before="40" w:after="100" w:line="276" w:lineRule="auto"/>
      </w:pPr>
      <w:r>
        <w:rPr>
          <w:rFonts w:ascii="Calibri" w:hAnsi="Calibri"/>
          <w:i w:val="0"/>
          <w:color w:val="1E293B"/>
          <w:sz w:val="21"/>
        </w:rPr>
        <w:t>This provides operators with high-confidence predictions for Today/Tomorrow and transparent error expansion for extended 7-day horizons.</w:t>
      </w:r>
    </w:p>
    <w:p>
      <w:pPr>
        <w:keepNext/>
        <w:spacing w:before="320" w:after="120"/>
      </w:pPr>
      <w:r>
        <w:rPr>
          <w:rFonts w:ascii="Calibri" w:hAnsi="Calibri"/>
          <w:b/>
          <w:color w:val="3085C3"/>
          <w:sz w:val="28"/>
        </w:rPr>
        <w:t>7.3 Operational Urgency Classification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rPr>
        <w:tc>
          <w:tcPr>
            <w:tcW w:type="dxa" w:w="2592"/>
            <w:shd w:fill="0F2C59"/>
            <w:tcMar>
              <w:top w:w="100" w:type="dxa"/>
              <w:bottom w:w="100" w:type="dxa"/>
              <w:left w:w="120" w:type="dxa"/>
              <w:right w:w="120" w:type="dxa"/>
            </w:tcMar>
          </w:tcPr>
          <w:p>
            <w:pPr>
              <w:spacing w:before="0" w:after="0" w:line="240" w:lineRule="auto"/>
            </w:pPr>
            <w:r>
              <w:rPr>
                <w:rFonts w:ascii="Calibri" w:hAnsi="Calibri"/>
                <w:b/>
                <w:color w:val="FFFFFF"/>
                <w:sz w:val="19"/>
              </w:rPr>
              <w:t>Classification Tier</w:t>
            </w:r>
          </w:p>
        </w:tc>
        <w:tc>
          <w:tcPr>
            <w:tcW w:type="dxa" w:w="3888"/>
            <w:shd w:fill="0F2C59"/>
            <w:tcMar>
              <w:top w:w="100" w:type="dxa"/>
              <w:bottom w:w="100" w:type="dxa"/>
              <w:left w:w="120" w:type="dxa"/>
              <w:right w:w="120" w:type="dxa"/>
            </w:tcMar>
          </w:tcPr>
          <w:p>
            <w:pPr>
              <w:spacing w:before="0" w:after="0" w:line="240" w:lineRule="auto"/>
            </w:pPr>
            <w:r>
              <w:rPr>
                <w:rFonts w:ascii="Calibri" w:hAnsi="Calibri"/>
                <w:b/>
                <w:color w:val="FFFFFF"/>
                <w:sz w:val="19"/>
              </w:rPr>
              <w:t>Trigger Condition</w:t>
            </w:r>
          </w:p>
        </w:tc>
        <w:tc>
          <w:tcPr>
            <w:tcW w:type="dxa" w:w="2880"/>
            <w:shd w:fill="0F2C59"/>
            <w:tcMar>
              <w:top w:w="100" w:type="dxa"/>
              <w:bottom w:w="100" w:type="dxa"/>
              <w:left w:w="120" w:type="dxa"/>
              <w:right w:w="120" w:type="dxa"/>
            </w:tcMar>
          </w:tcPr>
          <w:p>
            <w:pPr>
              <w:spacing w:before="0" w:after="0" w:line="240" w:lineRule="auto"/>
            </w:pPr>
            <w:r>
              <w:rPr>
                <w:rFonts w:ascii="Calibri" w:hAnsi="Calibri"/>
                <w:b/>
                <w:color w:val="FFFFFF"/>
                <w:sz w:val="19"/>
              </w:rPr>
              <w:t>Operational Action Required</w:t>
            </w:r>
          </w:p>
        </w:tc>
      </w:tr>
      <w:tr>
        <w:tc>
          <w:tcPr>
            <w:tcW w:type="dxa" w:w="2592"/>
            <w:tcMar>
              <w:top w:w="80" w:type="dxa"/>
              <w:bottom w:w="80" w:type="dxa"/>
              <w:left w:w="120" w:type="dxa"/>
              <w:right w:w="120" w:type="dxa"/>
            </w:tcMar>
          </w:tcPr>
          <w:p>
            <w:pPr>
              <w:spacing w:before="0" w:after="0" w:line="252" w:lineRule="auto"/>
            </w:pPr>
            <w:r>
              <w:rPr>
                <w:rFonts w:ascii="Calibri" w:hAnsi="Calibri"/>
                <w:color w:val="1E293B"/>
                <w:sz w:val="18"/>
              </w:rPr>
              <w:t>🚨 Immediate / URGENT</w:t>
            </w:r>
          </w:p>
        </w:tc>
        <w:tc>
          <w:tcPr>
            <w:tcW w:type="dxa" w:w="3888"/>
            <w:tcMar>
              <w:top w:w="80" w:type="dxa"/>
              <w:bottom w:w="80" w:type="dxa"/>
              <w:left w:w="120" w:type="dxa"/>
              <w:right w:w="120" w:type="dxa"/>
            </w:tcMar>
          </w:tcPr>
          <w:p>
            <w:pPr>
              <w:spacing w:before="0" w:after="0" w:line="252" w:lineRule="auto"/>
            </w:pPr>
            <w:r>
              <w:rPr>
                <w:rFonts w:ascii="Calibri" w:hAnsi="Calibri"/>
                <w:color w:val="1E293B"/>
                <w:sz w:val="18"/>
              </w:rPr>
              <w:t>Predicted Cl &lt; 0.5 mg/L or &gt; 5.0 mg/L</w:t>
              <w:br/>
              <w:t>Predicted pH &lt; 7.2 or &gt; 8.0</w:t>
              <w:br/>
              <w:t>Predicted Turbidity &gt; 5.0 NTU</w:t>
            </w:r>
          </w:p>
        </w:tc>
        <w:tc>
          <w:tcPr>
            <w:tcW w:type="dxa" w:w="2880"/>
            <w:tcMar>
              <w:top w:w="80" w:type="dxa"/>
              <w:bottom w:w="80" w:type="dxa"/>
              <w:left w:w="120" w:type="dxa"/>
              <w:right w:w="120" w:type="dxa"/>
            </w:tcMar>
          </w:tcPr>
          <w:p>
            <w:pPr>
              <w:spacing w:before="0" w:after="0" w:line="252" w:lineRule="auto"/>
            </w:pPr>
            <w:r>
              <w:rPr>
                <w:rFonts w:ascii="Calibri" w:hAnsi="Calibri"/>
                <w:color w:val="1E293B"/>
                <w:sz w:val="18"/>
              </w:rPr>
              <w:t>Immediate technician dispatch required today. Severe pathogen or chemical hazard.</w:t>
            </w:r>
          </w:p>
        </w:tc>
      </w:tr>
      <w:tr>
        <w:tc>
          <w:tcPr>
            <w:tcW w:type="dxa" w:w="2592"/>
            <w:shd w:fill="F8FAFC"/>
            <w:tcMar>
              <w:top w:w="80" w:type="dxa"/>
              <w:bottom w:w="80" w:type="dxa"/>
              <w:left w:w="120" w:type="dxa"/>
              <w:right w:w="120" w:type="dxa"/>
            </w:tcMar>
          </w:tcPr>
          <w:p>
            <w:pPr>
              <w:spacing w:before="0" w:after="0" w:line="252" w:lineRule="auto"/>
            </w:pPr>
            <w:r>
              <w:rPr>
                <w:rFonts w:ascii="Calibri" w:hAnsi="Calibri"/>
                <w:color w:val="1E293B"/>
                <w:sz w:val="18"/>
              </w:rPr>
              <w:t>⚠️ Advised (Maintenance)</w:t>
            </w:r>
          </w:p>
        </w:tc>
        <w:tc>
          <w:tcPr>
            <w:tcW w:type="dxa" w:w="3888"/>
            <w:shd w:fill="F8FAFC"/>
            <w:tcMar>
              <w:top w:w="80" w:type="dxa"/>
              <w:bottom w:w="80" w:type="dxa"/>
              <w:left w:w="120" w:type="dxa"/>
              <w:right w:w="120" w:type="dxa"/>
            </w:tcMar>
          </w:tcPr>
          <w:p>
            <w:pPr>
              <w:spacing w:before="0" w:after="0" w:line="252" w:lineRule="auto"/>
            </w:pPr>
            <w:r>
              <w:rPr>
                <w:rFonts w:ascii="Calibri" w:hAnsi="Calibri"/>
                <w:color w:val="1E293B"/>
                <w:sz w:val="18"/>
              </w:rPr>
              <w:t>Predicted Cl &lt; 1.0 mg/L (Breaches client target minimum)</w:t>
            </w:r>
          </w:p>
        </w:tc>
        <w:tc>
          <w:tcPr>
            <w:tcW w:type="dxa" w:w="2880"/>
            <w:shd w:fill="F8FAFC"/>
            <w:tcMar>
              <w:top w:w="80" w:type="dxa"/>
              <w:bottom w:w="80" w:type="dxa"/>
              <w:left w:w="120" w:type="dxa"/>
              <w:right w:w="120" w:type="dxa"/>
            </w:tcMar>
          </w:tcPr>
          <w:p>
            <w:pPr>
              <w:spacing w:before="0" w:after="0" w:line="252" w:lineRule="auto"/>
            </w:pPr>
            <w:r>
              <w:rPr>
                <w:rFonts w:ascii="Calibri" w:hAnsi="Calibri"/>
                <w:color w:val="1E293B"/>
                <w:sz w:val="18"/>
              </w:rPr>
              <w:t>Schedule routine visit within 24–48 hours to prevent regulatory breach.</w:t>
            </w:r>
          </w:p>
        </w:tc>
      </w:tr>
      <w:tr>
        <w:tc>
          <w:tcPr>
            <w:tcW w:type="dxa" w:w="2592"/>
            <w:tcMar>
              <w:top w:w="80" w:type="dxa"/>
              <w:bottom w:w="80" w:type="dxa"/>
              <w:left w:w="120" w:type="dxa"/>
              <w:right w:w="120" w:type="dxa"/>
            </w:tcMar>
          </w:tcPr>
          <w:p>
            <w:pPr>
              <w:spacing w:before="0" w:after="0" w:line="252" w:lineRule="auto"/>
            </w:pPr>
            <w:r>
              <w:rPr>
                <w:rFonts w:ascii="Calibri" w:hAnsi="Calibri"/>
                <w:color w:val="1E293B"/>
                <w:sz w:val="18"/>
              </w:rPr>
              <w:t>⚠️ Monitor (Overdose Buffer)</w:t>
            </w:r>
          </w:p>
        </w:tc>
        <w:tc>
          <w:tcPr>
            <w:tcW w:type="dxa" w:w="3888"/>
            <w:tcMar>
              <w:top w:w="80" w:type="dxa"/>
              <w:bottom w:w="80" w:type="dxa"/>
              <w:left w:w="120" w:type="dxa"/>
              <w:right w:w="120" w:type="dxa"/>
            </w:tcMar>
          </w:tcPr>
          <w:p>
            <w:pPr>
              <w:spacing w:before="0" w:after="0" w:line="252" w:lineRule="auto"/>
            </w:pPr>
            <w:r>
              <w:rPr>
                <w:rFonts w:ascii="Calibri" w:hAnsi="Calibri"/>
                <w:color w:val="1E293B"/>
                <w:sz w:val="18"/>
              </w:rPr>
              <w:t>Predicted Cl &gt; 2.0 mg/L (within Spanish Mediterranean buffer)</w:t>
            </w:r>
          </w:p>
        </w:tc>
        <w:tc>
          <w:tcPr>
            <w:tcW w:type="dxa" w:w="2880"/>
            <w:tcMar>
              <w:top w:w="80" w:type="dxa"/>
              <w:bottom w:w="80" w:type="dxa"/>
              <w:left w:w="120" w:type="dxa"/>
              <w:right w:w="120" w:type="dxa"/>
            </w:tcMar>
          </w:tcPr>
          <w:p>
            <w:pPr>
              <w:spacing w:before="0" w:after="0" w:line="252" w:lineRule="auto"/>
            </w:pPr>
            <w:r>
              <w:rPr>
                <w:rFonts w:ascii="Calibri" w:hAnsi="Calibri"/>
                <w:color w:val="1E293B"/>
                <w:sz w:val="18"/>
              </w:rPr>
              <w:t>No immediate hazard; recommend reducing pump dosing % at next visit.</w:t>
            </w:r>
          </w:p>
        </w:tc>
      </w:tr>
      <w:tr>
        <w:tc>
          <w:tcPr>
            <w:tcW w:type="dxa" w:w="2592"/>
            <w:shd w:fill="F8FAFC"/>
            <w:tcMar>
              <w:top w:w="80" w:type="dxa"/>
              <w:bottom w:w="80" w:type="dxa"/>
              <w:left w:w="120" w:type="dxa"/>
              <w:right w:w="120" w:type="dxa"/>
            </w:tcMar>
          </w:tcPr>
          <w:p>
            <w:pPr>
              <w:spacing w:before="0" w:after="0" w:line="252" w:lineRule="auto"/>
            </w:pPr>
            <w:r>
              <w:rPr>
                <w:rFonts w:ascii="Calibri" w:hAnsi="Calibri"/>
                <w:color w:val="1E293B"/>
                <w:sz w:val="18"/>
              </w:rPr>
              <w:t>✅ Routine (Optimal)</w:t>
            </w:r>
          </w:p>
        </w:tc>
        <w:tc>
          <w:tcPr>
            <w:tcW w:type="dxa" w:w="3888"/>
            <w:shd w:fill="F8FAFC"/>
            <w:tcMar>
              <w:top w:w="80" w:type="dxa"/>
              <w:bottom w:w="80" w:type="dxa"/>
              <w:left w:w="120" w:type="dxa"/>
              <w:right w:w="120" w:type="dxa"/>
            </w:tcMar>
          </w:tcPr>
          <w:p>
            <w:pPr>
              <w:spacing w:before="0" w:after="0" w:line="252" w:lineRule="auto"/>
            </w:pPr>
            <w:r>
              <w:rPr>
                <w:rFonts w:ascii="Calibri" w:hAnsi="Calibri"/>
                <w:color w:val="1E293B"/>
                <w:sz w:val="18"/>
              </w:rPr>
              <w:t>Cl in 1.0–1.5 mg/L, pH in 7.2–8.0, Turbidity ≤ 1.0 NTU</w:t>
            </w:r>
          </w:p>
        </w:tc>
        <w:tc>
          <w:tcPr>
            <w:tcW w:type="dxa" w:w="2880"/>
            <w:shd w:fill="F8FAFC"/>
            <w:tcMar>
              <w:top w:w="80" w:type="dxa"/>
              <w:bottom w:w="80" w:type="dxa"/>
              <w:left w:w="120" w:type="dxa"/>
              <w:right w:w="120" w:type="dxa"/>
            </w:tcMar>
          </w:tcPr>
          <w:p>
            <w:pPr>
              <w:spacing w:before="0" w:after="0" w:line="252" w:lineRule="auto"/>
            </w:pPr>
            <w:r>
              <w:rPr>
                <w:rFonts w:ascii="Calibri" w:hAnsi="Calibri"/>
                <w:color w:val="1E293B"/>
                <w:sz w:val="18"/>
              </w:rPr>
              <w:t>Pool operates in optimal equilibrium. No technician intervention needed.</w:t>
            </w:r>
          </w:p>
        </w:tc>
      </w:tr>
    </w:tbl>
    <w:p>
      <w:pPr>
        <w:spacing w:before="0" w:after="120"/>
      </w:pPr>
    </w:p>
    <w:p>
      <w:pPr>
        <w:keepNext/>
        <w:spacing w:before="440" w:after="160"/>
      </w:pPr>
      <w:r>
        <w:rPr>
          <w:rFonts w:ascii="Calibri" w:hAnsi="Calibri"/>
          <w:b/>
          <w:color w:val="0F2C59"/>
          <w:sz w:val="36"/>
        </w:rPr>
        <w:t>8. Automated Chemical Dosing Optimization Engine</w:t>
      </w:r>
    </w:p>
    <w:p>
      <w:pPr>
        <w:spacing w:before="40" w:after="100" w:line="276" w:lineRule="auto"/>
      </w:pPr>
      <w:r>
        <w:rPr>
          <w:rFonts w:ascii="Calibri" w:hAnsi="Calibri"/>
          <w:i w:val="0"/>
          <w:color w:val="1E293B"/>
          <w:sz w:val="21"/>
        </w:rPr>
        <w:t>The Dosing Optimizer ('ml/inference/optimiser.py') performs an exhaustive grid search over dosing pump configurations to find the minimal chemical effort required to keep water parameters within optimal client targets [Cl 1.0–1.5 mg/L, pH 7.2–8.0]:</w:t>
      </w:r>
    </w:p>
    <w:p>
      <w:pPr>
        <w:keepNext/>
        <w:spacing w:before="320" w:after="120"/>
      </w:pPr>
      <w:r>
        <w:rPr>
          <w:rFonts w:ascii="Calibri" w:hAnsi="Calibri"/>
          <w:b/>
          <w:color w:val="3085C3"/>
          <w:sz w:val="28"/>
        </w:rPr>
        <w:t>8.1 Grid Search Formulation (525 Candidate Configurations)</w:t>
      </w:r>
    </w:p>
    <w:p>
      <w:pPr>
        <w:pStyle w:val="ListBullet"/>
        <w:spacing w:before="20" w:after="60" w:line="276" w:lineRule="auto"/>
        <w:ind w:left="360"/>
      </w:pPr>
      <w:r>
        <w:rPr>
          <w:rFonts w:ascii="Calibri" w:hAnsi="Calibri"/>
          <w:b/>
          <w:color w:val="1E293B"/>
          <w:sz w:val="21"/>
        </w:rPr>
        <w:t xml:space="preserve">Hypochlorite Dosing Percentage: </w:t>
      </w:r>
      <w:r>
        <w:rPr>
          <w:rFonts w:ascii="Calibri" w:hAnsi="Calibri"/>
          <w:color w:val="1E293B"/>
          <w:sz w:val="21"/>
        </w:rPr>
        <w:t>0% to 100% in 5% increments (21 discrete levels).</w:t>
      </w:r>
    </w:p>
    <w:p>
      <w:pPr>
        <w:pStyle w:val="ListBullet"/>
        <w:spacing w:before="20" w:after="60" w:line="276" w:lineRule="auto"/>
        <w:ind w:left="360"/>
      </w:pPr>
      <w:r>
        <w:rPr>
          <w:rFonts w:ascii="Calibri" w:hAnsi="Calibri"/>
          <w:b/>
          <w:color w:val="1E293B"/>
          <w:sz w:val="21"/>
        </w:rPr>
        <w:t xml:space="preserve">Pump Operating Duration: </w:t>
      </w:r>
      <w:r>
        <w:rPr>
          <w:rFonts w:ascii="Calibri" w:hAnsi="Calibri"/>
          <w:color w:val="1E293B"/>
          <w:sz w:val="21"/>
        </w:rPr>
        <w:t>0.0 to 24.0 hours in 1.0-hour increments (25 discrete levels).</w:t>
      </w:r>
    </w:p>
    <w:p>
      <w:pPr>
        <w:pStyle w:val="ListBullet"/>
        <w:spacing w:before="20" w:after="60" w:line="276" w:lineRule="auto"/>
        <w:ind w:left="360"/>
      </w:pPr>
      <w:r>
        <w:rPr>
          <w:rFonts w:ascii="Calibri" w:hAnsi="Calibri"/>
          <w:b/>
          <w:color w:val="1E293B"/>
          <w:sz w:val="21"/>
        </w:rPr>
        <w:t xml:space="preserve">Total Candidate Space: </w:t>
      </w:r>
      <w:r>
        <w:rPr>
          <w:rFonts w:ascii="Calibri" w:hAnsi="Calibri"/>
          <w:color w:val="1E293B"/>
          <w:sz w:val="21"/>
        </w:rPr>
        <w:t>21 × 25 = 525 candidate configurations evaluated per pool in &lt;15 milliseconds.</w:t>
      </w:r>
    </w:p>
    <w:p>
      <w:pPr>
        <w:keepNext/>
        <w:spacing w:before="320" w:after="120"/>
      </w:pPr>
      <w:r>
        <w:rPr>
          <w:rFonts w:ascii="Calibri" w:hAnsi="Calibri"/>
          <w:b/>
          <w:color w:val="3085C3"/>
          <w:sz w:val="28"/>
        </w:rPr>
        <w:t>8.2 Multi-Objective Loss Function</w:t>
      </w:r>
    </w:p>
    <w:p>
      <w:pPr>
        <w:spacing w:before="40" w:after="100" w:line="276" w:lineRule="auto"/>
      </w:pPr>
      <w:r>
        <w:rPr>
          <w:rFonts w:ascii="Calibri" w:hAnsi="Calibri"/>
          <w:i w:val="0"/>
          <w:color w:val="1E293B"/>
          <w:sz w:val="21"/>
        </w:rPr>
        <w:t>For each candidate (Dosing%, Hours), the model predicts next-day chemical outcomes and evaluates: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tcBorders>
          </w:tcPr>
          <w:p>
            <w:pPr>
              <w:spacing w:before="0" w:after="0" w:line="252" w:lineRule="auto"/>
            </w:pPr>
            <w:r>
              <w:rPr>
                <w:rFonts w:ascii="Consolas" w:hAnsi="Consolas"/>
                <w:color w:val="1E293B"/>
                <w:sz w:val="18"/>
              </w:rPr>
              <w:t>cl_penalty = max(0, 1.0 - pred_cl) + max(0, pred_cl - 1.5)</w:t>
              <w:br/>
              <w:t>ph_penalty = max(0, 7.2 - pred_ph) + max(0, pred_ph - 8.0)</w:t>
              <w:br/>
              <w:t>total_penalty = cl_penalty + ph_penalty</w:t>
              <w:br/>
              <w:t>dosing_cost = (hypochlorite_dosing_pct / 100.0) * hypochlorite_dosing_hours</w:t>
            </w:r>
          </w:p>
        </w:tc>
      </w:tr>
    </w:tbl>
    <w:p>
      <w:pPr>
        <w:spacing w:before="0" w:after="80"/>
      </w:pPr>
    </w:p>
    <w:p>
      <w:pPr>
        <w:spacing w:before="40" w:after="100" w:line="276" w:lineRule="auto"/>
      </w:pPr>
      <w:r>
        <w:rPr>
          <w:rFonts w:ascii="Calibri" w:hAnsi="Calibri"/>
          <w:i w:val="0"/>
          <w:color w:val="1E293B"/>
          <w:sz w:val="21"/>
        </w:rPr>
        <w:t>Grid points are sorted primarily by ascending 'total_penalty' (0.0 = perfect compliance) and secondarily by ascending 'dosing_cost' (minimal chemical and pump wear).</w:t>
      </w:r>
    </w:p>
    <w:p>
      <w:pPr>
        <w:keepNext/>
        <w:spacing w:before="440" w:after="160"/>
      </w:pPr>
      <w:r>
        <w:rPr>
          <w:rFonts w:ascii="Calibri" w:hAnsi="Calibri"/>
          <w:b/>
          <w:color w:val="0F2C59"/>
          <w:sz w:val="36"/>
        </w:rPr>
        <w:t>9. SHAP Explainability &amp; Top Global Feature Drivers</w:t>
      </w:r>
    </w:p>
    <w:p>
      <w:pPr>
        <w:spacing w:before="40" w:after="100" w:line="276" w:lineRule="auto"/>
      </w:pPr>
      <w:r>
        <w:rPr>
          <w:rFonts w:ascii="Calibri" w:hAnsi="Calibri"/>
          <w:i w:val="0"/>
          <w:color w:val="1E293B"/>
          <w:sz w:val="21"/>
        </w:rPr>
        <w:t>TreeExplainer Shapley value analysis was conducted on all three models across the holdout test set to ensure total transparency and interpretability: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rPr>
        <w:tc>
          <w:tcPr>
            <w:tcW w:type="dxa" w:w="2160"/>
            <w:shd w:fill="0F2C59"/>
            <w:tcMar>
              <w:top w:w="100" w:type="dxa"/>
              <w:bottom w:w="100" w:type="dxa"/>
              <w:left w:w="120" w:type="dxa"/>
              <w:right w:w="120" w:type="dxa"/>
            </w:tcMar>
          </w:tcPr>
          <w:p>
            <w:pPr>
              <w:spacing w:before="0" w:after="0" w:line="240" w:lineRule="auto"/>
            </w:pPr>
            <w:r>
              <w:rPr>
                <w:rFonts w:ascii="Calibri" w:hAnsi="Calibri"/>
                <w:b/>
                <w:color w:val="FFFFFF"/>
                <w:sz w:val="19"/>
              </w:rPr>
              <w:t>Target Model</w:t>
            </w:r>
          </w:p>
        </w:tc>
        <w:tc>
          <w:tcPr>
            <w:tcW w:type="dxa" w:w="3168"/>
            <w:shd w:fill="0F2C59"/>
            <w:tcMar>
              <w:top w:w="100" w:type="dxa"/>
              <w:bottom w:w="100" w:type="dxa"/>
              <w:left w:w="120" w:type="dxa"/>
              <w:right w:w="120" w:type="dxa"/>
            </w:tcMar>
          </w:tcPr>
          <w:p>
            <w:pPr>
              <w:spacing w:before="0" w:after="0" w:line="240" w:lineRule="auto"/>
            </w:pPr>
            <w:r>
              <w:rPr>
                <w:rFonts w:ascii="Calibri" w:hAnsi="Calibri"/>
                <w:b/>
                <w:color w:val="FFFFFF"/>
                <w:sz w:val="19"/>
              </w:rPr>
              <w:t>Top 5 SHAP Feature Drivers</w:t>
            </w:r>
          </w:p>
        </w:tc>
        <w:tc>
          <w:tcPr>
            <w:tcW w:type="dxa" w:w="1584"/>
            <w:shd w:fill="0F2C59"/>
            <w:tcMar>
              <w:top w:w="100" w:type="dxa"/>
              <w:bottom w:w="100" w:type="dxa"/>
              <w:left w:w="120" w:type="dxa"/>
              <w:right w:w="120" w:type="dxa"/>
            </w:tcMar>
          </w:tcPr>
          <w:p>
            <w:pPr>
              <w:spacing w:before="0" w:after="0" w:line="240" w:lineRule="auto"/>
            </w:pPr>
            <w:r>
              <w:rPr>
                <w:rFonts w:ascii="Calibri" w:hAnsi="Calibri"/>
                <w:b/>
                <w:color w:val="FFFFFF"/>
                <w:sz w:val="19"/>
              </w:rPr>
              <w:t>Mean |SHAP| Value</w:t>
            </w:r>
          </w:p>
        </w:tc>
        <w:tc>
          <w:tcPr>
            <w:tcW w:type="dxa" w:w="2880"/>
            <w:shd w:fill="0F2C59"/>
            <w:tcMar>
              <w:top w:w="100" w:type="dxa"/>
              <w:bottom w:w="100" w:type="dxa"/>
              <w:left w:w="120" w:type="dxa"/>
              <w:right w:w="120" w:type="dxa"/>
            </w:tcMar>
          </w:tcPr>
          <w:p>
            <w:pPr>
              <w:spacing w:before="0" w:after="0" w:line="240" w:lineRule="auto"/>
            </w:pPr>
            <w:r>
              <w:rPr>
                <w:rFonts w:ascii="Calibri" w:hAnsi="Calibri"/>
                <w:b/>
                <w:color w:val="FFFFFF"/>
                <w:sz w:val="19"/>
              </w:rPr>
              <w:t>Physical &amp; Chemical Rationale</w:t>
            </w:r>
          </w:p>
        </w:tc>
      </w:tr>
      <w:tr>
        <w:tc>
          <w:tcPr>
            <w:tcW w:type="dxa" w:w="2160"/>
            <w:tcMar>
              <w:top w:w="80" w:type="dxa"/>
              <w:bottom w:w="80" w:type="dxa"/>
              <w:left w:w="120" w:type="dxa"/>
              <w:right w:w="120" w:type="dxa"/>
            </w:tcMar>
          </w:tcPr>
          <w:p>
            <w:pPr>
              <w:spacing w:before="0" w:after="0" w:line="252" w:lineRule="auto"/>
            </w:pPr>
            <w:r>
              <w:rPr>
                <w:rFonts w:ascii="Calibri" w:hAnsi="Calibri"/>
                <w:color w:val="1E293B"/>
                <w:sz w:val="18"/>
              </w:rPr>
              <w:t>Free Chlorine (Model A)</w:t>
            </w:r>
          </w:p>
        </w:tc>
        <w:tc>
          <w:tcPr>
            <w:tcW w:type="dxa" w:w="3168"/>
            <w:tcMar>
              <w:top w:w="80" w:type="dxa"/>
              <w:bottom w:w="80" w:type="dxa"/>
              <w:left w:w="120" w:type="dxa"/>
              <w:right w:w="120" w:type="dxa"/>
            </w:tcMar>
          </w:tcPr>
          <w:p>
            <w:pPr>
              <w:spacing w:before="0" w:after="0" w:line="252" w:lineRule="auto"/>
            </w:pPr>
            <w:r>
              <w:rPr>
                <w:rFonts w:ascii="Calibri" w:hAnsi="Calibri"/>
                <w:color w:val="1E293B"/>
                <w:sz w:val="18"/>
              </w:rPr>
              <w:t>1. chlorine_headroom_low</w:t>
              <w:br/>
              <w:t>2. chlorine_roll3_mean</w:t>
              <w:br/>
              <w:t>3. visit_is_summer</w:t>
              <w:br/>
              <w:t>4. cl_degradation_rate_from_setpoint</w:t>
              <w:br/>
              <w:t>5. chlorine_headroom_high</w:t>
            </w:r>
          </w:p>
        </w:tc>
        <w:tc>
          <w:tcPr>
            <w:tcW w:type="dxa" w:w="1584"/>
            <w:tcMar>
              <w:top w:w="80" w:type="dxa"/>
              <w:bottom w:w="80" w:type="dxa"/>
              <w:left w:w="120" w:type="dxa"/>
              <w:right w:w="120" w:type="dxa"/>
            </w:tcMar>
          </w:tcPr>
          <w:p>
            <w:pPr>
              <w:spacing w:before="0" w:after="0" w:line="252" w:lineRule="auto"/>
            </w:pPr>
            <w:r>
              <w:rPr>
                <w:rFonts w:ascii="Calibri" w:hAnsi="Calibri"/>
                <w:color w:val="1E293B"/>
                <w:sz w:val="18"/>
              </w:rPr>
              <w:t>0.0481</w:t>
              <w:br/>
              <w:t>0.0469</w:t>
              <w:br/>
              <w:t>0.0293</w:t>
              <w:br/>
              <w:t>0.0236</w:t>
              <w:br/>
              <w:t>0.0152</w:t>
            </w:r>
          </w:p>
        </w:tc>
        <w:tc>
          <w:tcPr>
            <w:tcW w:type="dxa" w:w="2880"/>
            <w:tcMar>
              <w:top w:w="80" w:type="dxa"/>
              <w:bottom w:w="80" w:type="dxa"/>
              <w:left w:w="120" w:type="dxa"/>
              <w:right w:w="120" w:type="dxa"/>
            </w:tcMar>
          </w:tcPr>
          <w:p>
            <w:pPr>
              <w:spacing w:before="0" w:after="0" w:line="252" w:lineRule="auto"/>
            </w:pPr>
            <w:r>
              <w:rPr>
                <w:rFonts w:ascii="Calibri" w:hAnsi="Calibri"/>
                <w:color w:val="1E293B"/>
                <w:sz w:val="18"/>
              </w:rPr>
              <w:t>Proximity to minimum 0.5 mg/L threshold, baseline rolling stability, summer photolysis surge, and setpoint decay rate dominate chlorine consumption.</w:t>
            </w:r>
          </w:p>
        </w:tc>
      </w:tr>
      <w:tr>
        <w:tc>
          <w:tcPr>
            <w:tcW w:type="dxa" w:w="2160"/>
            <w:shd w:fill="F8FAFC"/>
            <w:tcMar>
              <w:top w:w="80" w:type="dxa"/>
              <w:bottom w:w="80" w:type="dxa"/>
              <w:left w:w="120" w:type="dxa"/>
              <w:right w:w="120" w:type="dxa"/>
            </w:tcMar>
          </w:tcPr>
          <w:p>
            <w:pPr>
              <w:spacing w:before="0" w:after="0" w:line="252" w:lineRule="auto"/>
            </w:pPr>
            <w:r>
              <w:rPr>
                <w:rFonts w:ascii="Calibri" w:hAnsi="Calibri"/>
                <w:color w:val="1E293B"/>
                <w:sz w:val="18"/>
              </w:rPr>
              <w:t>pH (Model C)</w:t>
            </w:r>
          </w:p>
        </w:tc>
        <w:tc>
          <w:tcPr>
            <w:tcW w:type="dxa" w:w="3168"/>
            <w:shd w:fill="F8FAFC"/>
            <w:tcMar>
              <w:top w:w="80" w:type="dxa"/>
              <w:bottom w:w="80" w:type="dxa"/>
              <w:left w:w="120" w:type="dxa"/>
              <w:right w:w="120" w:type="dxa"/>
            </w:tcMar>
          </w:tcPr>
          <w:p>
            <w:pPr>
              <w:spacing w:before="0" w:after="0" w:line="252" w:lineRule="auto"/>
            </w:pPr>
            <w:r>
              <w:rPr>
                <w:rFonts w:ascii="Calibri" w:hAnsi="Calibri"/>
                <w:color w:val="1E293B"/>
                <w:sz w:val="18"/>
              </w:rPr>
              <w:t>1. ph_roll3_mean</w:t>
              <w:br/>
              <w:t>2. ph_headroom_low</w:t>
              <w:br/>
              <w:t>3. ph_drift_rate_from_setpoint</w:t>
              <w:br/>
              <w:t>4. visit_is_summer</w:t>
              <w:br/>
              <w:t>5. visit_year</w:t>
            </w:r>
          </w:p>
        </w:tc>
        <w:tc>
          <w:tcPr>
            <w:tcW w:type="dxa" w:w="1584"/>
            <w:shd w:fill="F8FAFC"/>
            <w:tcMar>
              <w:top w:w="80" w:type="dxa"/>
              <w:bottom w:w="80" w:type="dxa"/>
              <w:left w:w="120" w:type="dxa"/>
              <w:right w:w="120" w:type="dxa"/>
            </w:tcMar>
          </w:tcPr>
          <w:p>
            <w:pPr>
              <w:spacing w:before="0" w:after="0" w:line="252" w:lineRule="auto"/>
            </w:pPr>
            <w:r>
              <w:rPr>
                <w:rFonts w:ascii="Calibri" w:hAnsi="Calibri"/>
                <w:color w:val="1E293B"/>
                <w:sz w:val="18"/>
              </w:rPr>
              <w:t>0.0154</w:t>
              <w:br/>
              <w:t>0.0096</w:t>
              <w:br/>
              <w:t>0.0068</w:t>
              <w:br/>
              <w:t>0.0039</w:t>
              <w:br/>
              <w:t>0.0027</w:t>
            </w:r>
          </w:p>
        </w:tc>
        <w:tc>
          <w:tcPr>
            <w:tcW w:type="dxa" w:w="2880"/>
            <w:shd w:fill="F8FAFC"/>
            <w:tcMar>
              <w:top w:w="80" w:type="dxa"/>
              <w:bottom w:w="80" w:type="dxa"/>
              <w:left w:w="120" w:type="dxa"/>
              <w:right w:w="120" w:type="dxa"/>
            </w:tcMar>
          </w:tcPr>
          <w:p>
            <w:pPr>
              <w:spacing w:before="0" w:after="0" w:line="252" w:lineRule="auto"/>
            </w:pPr>
            <w:r>
              <w:rPr>
                <w:rFonts w:ascii="Calibri" w:hAnsi="Calibri"/>
                <w:color w:val="1E293B"/>
                <w:sz w:val="18"/>
              </w:rPr>
              <w:t>Rolling pH baseline, distance from 7.2 acidic boundary, and degassing rate from setpoint govern carbonate balance.</w:t>
            </w:r>
          </w:p>
        </w:tc>
      </w:tr>
      <w:tr>
        <w:tc>
          <w:tcPr>
            <w:tcW w:type="dxa" w:w="2160"/>
            <w:tcMar>
              <w:top w:w="80" w:type="dxa"/>
              <w:bottom w:w="80" w:type="dxa"/>
              <w:left w:w="120" w:type="dxa"/>
              <w:right w:w="120" w:type="dxa"/>
            </w:tcMar>
          </w:tcPr>
          <w:p>
            <w:pPr>
              <w:spacing w:before="0" w:after="0" w:line="252" w:lineRule="auto"/>
            </w:pPr>
            <w:r>
              <w:rPr>
                <w:rFonts w:ascii="Calibri" w:hAnsi="Calibri"/>
                <w:color w:val="1E293B"/>
                <w:sz w:val="18"/>
              </w:rPr>
              <w:t>Turbidity (Model D)</w:t>
            </w:r>
          </w:p>
        </w:tc>
        <w:tc>
          <w:tcPr>
            <w:tcW w:type="dxa" w:w="3168"/>
            <w:tcMar>
              <w:top w:w="80" w:type="dxa"/>
              <w:bottom w:w="80" w:type="dxa"/>
              <w:left w:w="120" w:type="dxa"/>
              <w:right w:w="120" w:type="dxa"/>
            </w:tcMar>
          </w:tcPr>
          <w:p>
            <w:pPr>
              <w:spacing w:before="0" w:after="0" w:line="252" w:lineRule="auto"/>
            </w:pPr>
            <w:r>
              <w:rPr>
                <w:rFonts w:ascii="Calibri" w:hAnsi="Calibri"/>
                <w:color w:val="1E293B"/>
                <w:sz w:val="18"/>
              </w:rPr>
              <w:t>1. turb_accumulation_rate_from_setpoint</w:t>
              <w:br/>
              <w:t>2. turbidity_roll3_mean</w:t>
              <w:br/>
              <w:t>3. visit_is_summer</w:t>
              <w:br/>
              <w:t>4. visit_day_of_week</w:t>
              <w:br/>
              <w:t>5. w_tmrw_temp_mean</w:t>
            </w:r>
          </w:p>
        </w:tc>
        <w:tc>
          <w:tcPr>
            <w:tcW w:type="dxa" w:w="1584"/>
            <w:tcMar>
              <w:top w:w="80" w:type="dxa"/>
              <w:bottom w:w="80" w:type="dxa"/>
              <w:left w:w="120" w:type="dxa"/>
              <w:right w:w="120" w:type="dxa"/>
            </w:tcMar>
          </w:tcPr>
          <w:p>
            <w:pPr>
              <w:spacing w:before="0" w:after="0" w:line="252" w:lineRule="auto"/>
            </w:pPr>
            <w:r>
              <w:rPr>
                <w:rFonts w:ascii="Calibri" w:hAnsi="Calibri"/>
                <w:color w:val="1E293B"/>
                <w:sz w:val="18"/>
              </w:rPr>
              <w:t>0.0123</w:t>
              <w:br/>
              <w:t>0.0116</w:t>
              <w:br/>
              <w:t>0.0115</w:t>
              <w:br/>
              <w:t>0.0058</w:t>
              <w:br/>
              <w:t>0.0033</w:t>
            </w:r>
          </w:p>
        </w:tc>
        <w:tc>
          <w:tcPr>
            <w:tcW w:type="dxa" w:w="2880"/>
            <w:tcMar>
              <w:top w:w="80" w:type="dxa"/>
              <w:bottom w:w="80" w:type="dxa"/>
              <w:left w:w="120" w:type="dxa"/>
              <w:right w:w="120" w:type="dxa"/>
            </w:tcMar>
          </w:tcPr>
          <w:p>
            <w:pPr>
              <w:spacing w:before="0" w:after="0" w:line="252" w:lineRule="auto"/>
            </w:pPr>
            <w:r>
              <w:rPr>
                <w:rFonts w:ascii="Calibri" w:hAnsi="Calibri"/>
                <w:color w:val="1E293B"/>
                <w:sz w:val="18"/>
              </w:rPr>
              <w:t>Accumulation rate from 0.5 NTU setpoint is the #1 driver, followed by summer dust and weekend bather surges.</w:t>
            </w:r>
          </w:p>
        </w:tc>
      </w:tr>
    </w:tbl>
    <w:p>
      <w:pPr>
        <w:spacing w:before="0" w:after="120"/>
      </w:pPr>
    </w:p>
    <w:p>
      <w:pPr>
        <w:keepNext/>
        <w:spacing w:before="320" w:after="120"/>
      </w:pPr>
      <w:r>
        <w:rPr>
          <w:rFonts w:ascii="Calibri" w:hAnsi="Calibri"/>
          <w:b/>
          <w:color w:val="3085C3"/>
          <w:sz w:val="28"/>
        </w:rPr>
        <w:t>9.1 SHAP Summary Charts</w:t>
      </w:r>
    </w:p>
    <w:p>
      <w:pPr>
        <w:keepNext/>
        <w:spacing w:before="160" w:after="60"/>
        <w:jc w:val="center"/>
      </w:pPr>
      <w:r>
        <w:drawing>
          <wp:inline xmlns:a="http://schemas.openxmlformats.org/drawingml/2006/main" xmlns:pic="http://schemas.openxmlformats.org/drawingml/2006/picture">
            <wp:extent cx="5486400" cy="5066476"/>
            <wp:docPr id="1" name="Picture 1"/>
            <wp:cNvGraphicFramePr>
              <a:graphicFrameLocks noChangeAspect="1"/>
            </wp:cNvGraphicFramePr>
            <a:graphic>
              <a:graphicData uri="http://schemas.openxmlformats.org/drawingml/2006/picture">
                <pic:pic>
                  <pic:nvPicPr>
                    <pic:cNvPr id="0" name="shap_summary_chlorine_next.png"/>
                    <pic:cNvPicPr/>
                  </pic:nvPicPr>
                  <pic:blipFill>
                    <a:blip r:embed="rId9"/>
                    <a:stretch>
                      <a:fillRect/>
                    </a:stretch>
                  </pic:blipFill>
                  <pic:spPr>
                    <a:xfrm>
                      <a:off x="0" y="0"/>
                      <a:ext cx="5486400" cy="5066476"/>
                    </a:xfrm>
                    <a:prstGeom prst="rect"/>
                  </pic:spPr>
                </pic:pic>
              </a:graphicData>
            </a:graphic>
          </wp:inline>
        </w:drawing>
      </w:r>
    </w:p>
    <w:p>
      <w:pPr>
        <w:spacing w:before="0" w:after="200"/>
        <w:jc w:val="center"/>
      </w:pPr>
      <w:r>
        <w:rPr>
          <w:rFonts w:ascii="Calibri" w:hAnsi="Calibri"/>
          <w:i/>
          <w:color w:val="64748B"/>
          <w:sz w:val="18"/>
        </w:rPr>
        <w:t>Figure 1: SHAP Feature Importance Summary — Next-Day Free Chlorine Model</w:t>
      </w:r>
    </w:p>
    <w:p>
      <w:pPr>
        <w:keepNext/>
        <w:spacing w:before="160" w:after="60"/>
        <w:jc w:val="center"/>
      </w:pPr>
      <w:r>
        <w:drawing>
          <wp:inline xmlns:a="http://schemas.openxmlformats.org/drawingml/2006/main" xmlns:pic="http://schemas.openxmlformats.org/drawingml/2006/picture">
            <wp:extent cx="5486400" cy="5134826"/>
            <wp:docPr id="2" name="Picture 2"/>
            <wp:cNvGraphicFramePr>
              <a:graphicFrameLocks noChangeAspect="1"/>
            </wp:cNvGraphicFramePr>
            <a:graphic>
              <a:graphicData uri="http://schemas.openxmlformats.org/drawingml/2006/picture">
                <pic:pic>
                  <pic:nvPicPr>
                    <pic:cNvPr id="0" name="shap_summary_ph_next.png"/>
                    <pic:cNvPicPr/>
                  </pic:nvPicPr>
                  <pic:blipFill>
                    <a:blip r:embed="rId10"/>
                    <a:stretch>
                      <a:fillRect/>
                    </a:stretch>
                  </pic:blipFill>
                  <pic:spPr>
                    <a:xfrm>
                      <a:off x="0" y="0"/>
                      <a:ext cx="5486400" cy="5134826"/>
                    </a:xfrm>
                    <a:prstGeom prst="rect"/>
                  </pic:spPr>
                </pic:pic>
              </a:graphicData>
            </a:graphic>
          </wp:inline>
        </w:drawing>
      </w:r>
    </w:p>
    <w:p>
      <w:pPr>
        <w:spacing w:before="0" w:after="200"/>
        <w:jc w:val="center"/>
      </w:pPr>
      <w:r>
        <w:rPr>
          <w:rFonts w:ascii="Calibri" w:hAnsi="Calibri"/>
          <w:i/>
          <w:color w:val="64748B"/>
          <w:sz w:val="18"/>
        </w:rPr>
        <w:t>Figure 2: SHAP Feature Importance Summary — Next-Day pH Model</w:t>
      </w:r>
    </w:p>
    <w:p>
      <w:pPr>
        <w:keepNext/>
        <w:spacing w:before="160" w:after="60"/>
        <w:jc w:val="center"/>
      </w:pPr>
      <w:r>
        <w:drawing>
          <wp:inline xmlns:a="http://schemas.openxmlformats.org/drawingml/2006/main" xmlns:pic="http://schemas.openxmlformats.org/drawingml/2006/picture">
            <wp:extent cx="5486400" cy="5134826"/>
            <wp:docPr id="3" name="Picture 3"/>
            <wp:cNvGraphicFramePr>
              <a:graphicFrameLocks noChangeAspect="1"/>
            </wp:cNvGraphicFramePr>
            <a:graphic>
              <a:graphicData uri="http://schemas.openxmlformats.org/drawingml/2006/picture">
                <pic:pic>
                  <pic:nvPicPr>
                    <pic:cNvPr id="0" name="shap_summary_turbidity_next.png"/>
                    <pic:cNvPicPr/>
                  </pic:nvPicPr>
                  <pic:blipFill>
                    <a:blip r:embed="rId11"/>
                    <a:stretch>
                      <a:fillRect/>
                    </a:stretch>
                  </pic:blipFill>
                  <pic:spPr>
                    <a:xfrm>
                      <a:off x="0" y="0"/>
                      <a:ext cx="5486400" cy="5134826"/>
                    </a:xfrm>
                    <a:prstGeom prst="rect"/>
                  </pic:spPr>
                </pic:pic>
              </a:graphicData>
            </a:graphic>
          </wp:inline>
        </w:drawing>
      </w:r>
    </w:p>
    <w:p>
      <w:pPr>
        <w:spacing w:before="0" w:after="200"/>
        <w:jc w:val="center"/>
      </w:pPr>
      <w:r>
        <w:rPr>
          <w:rFonts w:ascii="Calibri" w:hAnsi="Calibri"/>
          <w:i/>
          <w:color w:val="64748B"/>
          <w:sz w:val="18"/>
        </w:rPr>
        <w:t>Figure 3: SHAP Feature Importance Summary — Next-Day Turbidity Model</w:t>
      </w:r>
    </w:p>
    <w:p>
      <w:pPr>
        <w:keepNext/>
        <w:spacing w:before="440" w:after="160"/>
      </w:pPr>
      <w:r>
        <w:rPr>
          <w:rFonts w:ascii="Calibri" w:hAnsi="Calibri"/>
          <w:b/>
          <w:color w:val="0F2C59"/>
          <w:sz w:val="36"/>
        </w:rPr>
        <w:t>10. Full-Stack System Architecture &amp; Production Implementation</w:t>
      </w:r>
    </w:p>
    <w:p>
      <w:pPr>
        <w:spacing w:before="40" w:after="100" w:line="276" w:lineRule="auto"/>
      </w:pPr>
      <w:r>
        <w:rPr>
          <w:rFonts w:ascii="Calibri" w:hAnsi="Calibri"/>
          <w:i w:val="0"/>
          <w:color w:val="1E293B"/>
          <w:sz w:val="21"/>
        </w:rPr>
        <w:t>The system is implemented as an enterprise-grade, asynchronous full-stack platform designed for Dockerized cloud or on-premises deployment:</w:t>
      </w:r>
    </w:p>
    <w:p>
      <w:pPr>
        <w:keepNext/>
        <w:spacing w:before="320" w:after="120"/>
      </w:pPr>
      <w:r>
        <w:rPr>
          <w:rFonts w:ascii="Calibri" w:hAnsi="Calibri"/>
          <w:b/>
          <w:color w:val="3085C3"/>
          <w:sz w:val="28"/>
        </w:rPr>
        <w:t>10.1 System Topology &amp; Component Interactions</w:t>
      </w:r>
    </w:p>
    <w:p>
      <w:pPr>
        <w:pStyle w:val="ListBullet"/>
        <w:spacing w:before="20" w:after="60" w:line="276" w:lineRule="auto"/>
        <w:ind w:left="360"/>
      </w:pPr>
      <w:r>
        <w:rPr>
          <w:rFonts w:ascii="Calibri" w:hAnsi="Calibri"/>
          <w:b/>
          <w:color w:val="1E293B"/>
          <w:sz w:val="21"/>
        </w:rPr>
        <w:t xml:space="preserve">Backend API (FastAPI): </w:t>
      </w:r>
      <w:r>
        <w:rPr>
          <w:rFonts w:ascii="Calibri" w:hAnsi="Calibri"/>
          <w:color w:val="1E293B"/>
          <w:sz w:val="21"/>
        </w:rPr>
        <w:t>High-performance Python 3.10+ ASGI service using Pydantic V2 validation, CORS middleware, and request tracing.</w:t>
      </w:r>
    </w:p>
    <w:p>
      <w:pPr>
        <w:pStyle w:val="ListBullet"/>
        <w:spacing w:before="20" w:after="60" w:line="276" w:lineRule="auto"/>
        <w:ind w:left="360"/>
      </w:pPr>
      <w:r>
        <w:rPr>
          <w:rFonts w:ascii="Calibri" w:hAnsi="Calibri"/>
          <w:b/>
          <w:color w:val="1E293B"/>
          <w:sz w:val="21"/>
        </w:rPr>
        <w:t xml:space="preserve">Database ORM (Prisma): </w:t>
      </w:r>
      <w:r>
        <w:rPr>
          <w:rFonts w:ascii="Calibri" w:hAnsi="Calibri"/>
          <w:color w:val="1E293B"/>
          <w:sz w:val="21"/>
        </w:rPr>
        <w:t>Type-safe asynchronous Prisma Client Python connected to PostgreSQL 16.</w:t>
      </w:r>
    </w:p>
    <w:p>
      <w:pPr>
        <w:pStyle w:val="ListBullet"/>
        <w:spacing w:before="20" w:after="60" w:line="276" w:lineRule="auto"/>
        <w:ind w:left="360"/>
      </w:pPr>
      <w:r>
        <w:rPr>
          <w:rFonts w:ascii="Calibri" w:hAnsi="Calibri"/>
          <w:b/>
          <w:color w:val="1E293B"/>
          <w:sz w:val="21"/>
        </w:rPr>
        <w:t xml:space="preserve">Job Scheduler (APScheduler): </w:t>
      </w:r>
      <w:r>
        <w:rPr>
          <w:rFonts w:ascii="Calibri" w:hAnsi="Calibri"/>
          <w:color w:val="1E293B"/>
          <w:sz w:val="21"/>
        </w:rPr>
        <w:t>In-process AsyncIOScheduler managing daily weather synchronization (4:00 AM) and periodic model retraining (Monday 3:00 AM).</w:t>
      </w:r>
    </w:p>
    <w:p>
      <w:pPr>
        <w:pStyle w:val="ListBullet"/>
        <w:spacing w:before="20" w:after="60" w:line="276" w:lineRule="auto"/>
        <w:ind w:left="360"/>
      </w:pPr>
      <w:r>
        <w:rPr>
          <w:rFonts w:ascii="Calibri" w:hAnsi="Calibri"/>
          <w:b/>
          <w:color w:val="1E293B"/>
          <w:sz w:val="21"/>
        </w:rPr>
        <w:t xml:space="preserve">Frontend Dashboard (React 19): </w:t>
      </w:r>
      <w:r>
        <w:rPr>
          <w:rFonts w:ascii="Calibri" w:hAnsi="Calibri"/>
          <w:color w:val="1E293B"/>
          <w:sz w:val="21"/>
        </w:rPr>
        <w:t>Single-page operator application built with React 19, TypeScript, Vite, TanStack React Query, Recharts, and Tailwind CSS.</w:t>
      </w:r>
    </w:p>
    <w:p>
      <w:pPr>
        <w:keepNext/>
        <w:spacing w:before="320" w:after="120"/>
      </w:pPr>
      <w:r>
        <w:rPr>
          <w:rFonts w:ascii="Calibri" w:hAnsi="Calibri"/>
          <w:b/>
          <w:color w:val="3085C3"/>
          <w:sz w:val="28"/>
        </w:rPr>
        <w:t>10.2 PostgreSQL Relational Database Schema</w:t>
      </w:r>
    </w:p>
    <w:p>
      <w:pPr>
        <w:spacing w:before="40" w:after="100" w:line="276" w:lineRule="auto"/>
      </w:pPr>
      <w:r>
        <w:rPr>
          <w:rFonts w:ascii="Calibri" w:hAnsi="Calibri"/>
          <w:i w:val="0"/>
          <w:color w:val="1E293B"/>
          <w:sz w:val="21"/>
        </w:rPr>
        <w:t>The database schema ('prisma/schema.prisma') defines five core relational models:</w:t>
      </w:r>
    </w:p>
    <w:p>
      <w:pPr>
        <w:pStyle w:val="ListBullet"/>
        <w:spacing w:before="20" w:after="60" w:line="276" w:lineRule="auto"/>
        <w:ind w:left="360"/>
      </w:pPr>
      <w:r>
        <w:rPr>
          <w:rFonts w:ascii="Calibri" w:hAnsi="Calibri"/>
          <w:b/>
          <w:color w:val="1E293B"/>
          <w:sz w:val="21"/>
        </w:rPr>
        <w:t xml:space="preserve">Pool (pools table): </w:t>
      </w:r>
      <w:r>
        <w:rPr>
          <w:rFonts w:ascii="Calibri" w:hAnsi="Calibri"/>
          <w:color w:val="1E293B"/>
          <w:sz w:val="21"/>
        </w:rPr>
        <w:t>pool_id (PK), community_name, pool_type, deck_type, pool_volume_m3, pool_surface_m2, filter_diameter, filter_count, motor_count, pool flags (heated, outdoor, skimmer, overflow, rectangular).</w:t>
      </w:r>
    </w:p>
    <w:p>
      <w:pPr>
        <w:pStyle w:val="ListBullet"/>
        <w:spacing w:before="20" w:after="60" w:line="276" w:lineRule="auto"/>
        <w:ind w:left="360"/>
      </w:pPr>
      <w:r>
        <w:rPr>
          <w:rFonts w:ascii="Calibri" w:hAnsi="Calibri"/>
          <w:b/>
          <w:color w:val="1E293B"/>
          <w:sz w:val="21"/>
        </w:rPr>
        <w:t xml:space="preserve">Reading (readings table): </w:t>
      </w:r>
      <w:r>
        <w:rPr>
          <w:rFonts w:ascii="Calibri" w:hAnsi="Calibri"/>
          <w:color w:val="1E293B"/>
          <w:sz w:val="21"/>
        </w:rPr>
        <w:t>id (PK autoincrement), pool_id (FK cascade), reading_date, technician, ph, free_chlorine, turbidity, hypochlorite_dosing_pct, hypochlorite_dosing_hours, water_temperature, source, created_at. Unique compound constraint on [pool_id, reading_date].</w:t>
      </w:r>
    </w:p>
    <w:p>
      <w:pPr>
        <w:pStyle w:val="ListBullet"/>
        <w:spacing w:before="20" w:after="60" w:line="276" w:lineRule="auto"/>
        <w:ind w:left="360"/>
      </w:pPr>
      <w:r>
        <w:rPr>
          <w:rFonts w:ascii="Calibri" w:hAnsi="Calibri"/>
          <w:b/>
          <w:color w:val="1E293B"/>
          <w:sz w:val="21"/>
        </w:rPr>
        <w:t xml:space="preserve">WeatherDaily (weather_daily table): </w:t>
      </w:r>
      <w:r>
        <w:rPr>
          <w:rFonts w:ascii="Calibri" w:hAnsi="Calibri"/>
          <w:color w:val="1E293B"/>
          <w:sz w:val="21"/>
        </w:rPr>
        <w:t>date (PK DateTime), w_temp_max, w_temp_mean, w_uv_max, w_solar_radiation, w_sunshine_hours, w_precipitation_mm, w_wind_max_kmh, w_et0, w_weather_code, fetched_at.</w:t>
      </w:r>
    </w:p>
    <w:p>
      <w:pPr>
        <w:pStyle w:val="ListBullet"/>
        <w:spacing w:before="20" w:after="60" w:line="276" w:lineRule="auto"/>
        <w:ind w:left="360"/>
      </w:pPr>
      <w:r>
        <w:rPr>
          <w:rFonts w:ascii="Calibri" w:hAnsi="Calibri"/>
          <w:b/>
          <w:color w:val="1E293B"/>
          <w:sz w:val="21"/>
        </w:rPr>
        <w:t xml:space="preserve">ModelRun (model_runs table): </w:t>
      </w:r>
      <w:r>
        <w:rPr>
          <w:rFonts w:ascii="Calibri" w:hAnsi="Calibri"/>
          <w:color w:val="1E293B"/>
          <w:sz w:val="21"/>
        </w:rPr>
        <w:t>run_id (PK String), artifact_dir, created_at, is_active (Int), metrics_json, feature_schema_json, promoted_at, promote_reason.</w:t>
      </w:r>
    </w:p>
    <w:p>
      <w:pPr>
        <w:pStyle w:val="ListBullet"/>
        <w:spacing w:before="20" w:after="60" w:line="276" w:lineRule="auto"/>
        <w:ind w:left="360"/>
      </w:pPr>
      <w:r>
        <w:rPr>
          <w:rFonts w:ascii="Calibri" w:hAnsi="Calibri"/>
          <w:b/>
          <w:color w:val="1E293B"/>
          <w:sz w:val="21"/>
        </w:rPr>
        <w:t xml:space="preserve">IngestLog (ingest_logs table): </w:t>
      </w:r>
      <w:r>
        <w:rPr>
          <w:rFonts w:ascii="Calibri" w:hAnsi="Calibri"/>
          <w:color w:val="1E293B"/>
          <w:sz w:val="21"/>
        </w:rPr>
        <w:t>id (PK autoincrement), source, filename, pool_count, row_count, skipped_count, created_at, detail_json.</w:t>
      </w:r>
    </w:p>
    <w:p>
      <w:pPr>
        <w:keepNext/>
        <w:spacing w:before="320" w:after="120"/>
      </w:pPr>
      <w:r>
        <w:rPr>
          <w:rFonts w:ascii="Calibri" w:hAnsi="Calibri"/>
          <w:b/>
          <w:color w:val="3085C3"/>
          <w:sz w:val="28"/>
        </w:rPr>
        <w:t>10.3 Background Job Scheduler &amp; Automated Promotion Gate</w:t>
      </w:r>
    </w:p>
    <w:p>
      <w:pPr>
        <w:spacing w:before="40" w:after="100" w:line="276" w:lineRule="auto"/>
      </w:pPr>
      <w:r>
        <w:rPr>
          <w:rFonts w:ascii="Calibri" w:hAnsi="Calibri"/>
          <w:i w:val="0"/>
          <w:color w:val="1E293B"/>
          <w:sz w:val="21"/>
        </w:rPr>
        <w:t>1. Daily Weather Refresh: Runs every morning at 4:00 AM ('0 4 * * *'). Fetches yesterday's historical weather plus 7-day forward forecasts from Open-Meteo, upserts into 'weather_daily', and invalidates the in-memory cache.</w:t>
      </w:r>
    </w:p>
    <w:p>
      <w:pPr>
        <w:spacing w:before="40" w:after="100" w:line="276" w:lineRule="auto"/>
      </w:pPr>
      <w:r>
        <w:rPr>
          <w:rFonts w:ascii="Calibri" w:hAnsi="Calibri"/>
          <w:i w:val="0"/>
          <w:color w:val="1E293B"/>
          <w:sz w:val="21"/>
        </w:rPr>
        <w:t>2. Weekly Model Retraining &amp; Promotion: Runs weekly on Monday at 3:00 AM ('0 3 * * 1'). Spawns 'ml.training.train' as a non-blocking subprocess if at least 200 new reading rows have been ingested since the last active model run.</w:t>
      </w:r>
    </w:p>
    <w:p>
      <w:pPr>
        <w:spacing w:before="40" w:after="100" w:line="276" w:lineRule="auto"/>
      </w:pPr>
      <w:r>
        <w:rPr>
          <w:rFonts w:ascii="Calibri" w:hAnsi="Calibri"/>
          <w:i w:val="0"/>
          <w:color w:val="1E293B"/>
          <w:sz w:val="21"/>
        </w:rPr>
        <w:t>Automated Promotion Gate: The newly trained candidate model is promoted to active status only if its holdout MAE is no worse than the active run within strict tolerances (Cl MAE slack: 0.02 mg/L, pH MAE slack: 0.005, Turbidity MAE slack: 0.01 NTU). If promoted, 'models/latest.json' and PostgreSQL 'is_active' are updated atomically, and the PredictionService hot-reloads without server downtime.</w:t>
      </w:r>
    </w:p>
    <w:p>
      <w:pPr>
        <w:keepNext/>
        <w:spacing w:before="320" w:after="120"/>
      </w:pPr>
      <w:r>
        <w:rPr>
          <w:rFonts w:ascii="Calibri" w:hAnsi="Calibri"/>
          <w:b/>
          <w:color w:val="3085C3"/>
          <w:sz w:val="28"/>
        </w:rPr>
        <w:t>10.4 Multi-Channel Data Ingestion</w:t>
      </w:r>
    </w:p>
    <w:p>
      <w:pPr>
        <w:pStyle w:val="ListBullet"/>
        <w:spacing w:before="20" w:after="60" w:line="276" w:lineRule="auto"/>
        <w:ind w:left="360"/>
      </w:pPr>
      <w:r>
        <w:rPr>
          <w:rFonts w:ascii="Calibri" w:hAnsi="Calibri"/>
          <w:b/>
          <w:color w:val="1E293B"/>
          <w:sz w:val="21"/>
        </w:rPr>
        <w:t xml:space="preserve">Interactive File Upload: </w:t>
      </w:r>
      <w:r>
        <w:rPr>
          <w:rFonts w:ascii="Calibri" w:hAnsi="Calibri"/>
          <w:color w:val="1E293B"/>
          <w:sz w:val="21"/>
        </w:rPr>
        <w:t>Web UI drag-and-drop supporting .xlsx and .csv files with automated fuzzy column detection, interactive header mapping, and instant preview.</w:t>
      </w:r>
    </w:p>
    <w:p>
      <w:pPr>
        <w:pStyle w:val="ListBullet"/>
        <w:spacing w:before="20" w:after="60" w:line="276" w:lineRule="auto"/>
        <w:ind w:left="360"/>
      </w:pPr>
      <w:r>
        <w:rPr>
          <w:rFonts w:ascii="Calibri" w:hAnsi="Calibri"/>
          <w:b/>
          <w:color w:val="1E293B"/>
          <w:sz w:val="21"/>
        </w:rPr>
        <w:t xml:space="preserve">Manual Reading Form: </w:t>
      </w:r>
      <w:r>
        <w:rPr>
          <w:rFonts w:ascii="Calibri" w:hAnsi="Calibri"/>
          <w:color w:val="1E293B"/>
          <w:sz w:val="21"/>
        </w:rPr>
        <w:t>Clean web interface for technicians to log daily field measurements on mobile devices or tablets.</w:t>
      </w:r>
    </w:p>
    <w:p>
      <w:pPr>
        <w:pStyle w:val="ListBullet"/>
        <w:spacing w:before="20" w:after="60" w:line="276" w:lineRule="auto"/>
        <w:ind w:left="360"/>
      </w:pPr>
      <w:r>
        <w:rPr>
          <w:rFonts w:ascii="Calibri" w:hAnsi="Calibri"/>
          <w:b/>
          <w:color w:val="1E293B"/>
          <w:sz w:val="21"/>
        </w:rPr>
        <w:t xml:space="preserve">Authenticated REST JSON Ingest: </w:t>
      </w:r>
      <w:r>
        <w:rPr>
          <w:rFonts w:ascii="Calibri" w:hAnsi="Calibri"/>
          <w:color w:val="1E293B"/>
          <w:sz w:val="21"/>
        </w:rPr>
        <w:t>Secure endpoint ('POST /api/ingest/readings') supporting bulk JSON payloads with optional Bearer token authentication.</w:t>
      </w:r>
    </w:p>
    <w:p>
      <w:pPr>
        <w:pStyle w:val="ListBullet"/>
        <w:spacing w:before="20" w:after="60" w:line="276" w:lineRule="auto"/>
        <w:ind w:left="360"/>
      </w:pPr>
      <w:r>
        <w:rPr>
          <w:rFonts w:ascii="Calibri" w:hAnsi="Calibri"/>
          <w:b/>
          <w:color w:val="1E293B"/>
          <w:sz w:val="21"/>
        </w:rPr>
        <w:t xml:space="preserve">Automated File Ingest: </w:t>
      </w:r>
      <w:r>
        <w:rPr>
          <w:rFonts w:ascii="Calibri" w:hAnsi="Calibri"/>
          <w:color w:val="1E293B"/>
          <w:sz w:val="21"/>
        </w:rPr>
        <w:t>Direct multipart upload endpoint ('POST /api/ingest/readings/file') for automated script or cron feeds.</w:t>
      </w:r>
    </w:p>
    <w:p>
      <w:pPr>
        <w:keepNext/>
        <w:spacing w:before="440" w:after="160"/>
      </w:pPr>
      <w:r>
        <w:rPr>
          <w:rFonts w:ascii="Calibri" w:hAnsi="Calibri"/>
          <w:b/>
          <w:color w:val="0F2C59"/>
          <w:sz w:val="36"/>
        </w:rPr>
        <w:t>11. Complete REST API Reference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rPr>
        <w:tc>
          <w:tcPr>
            <w:tcW w:type="dxa" w:w="2592"/>
            <w:shd w:fill="0F2C59"/>
            <w:tcMar>
              <w:top w:w="100" w:type="dxa"/>
              <w:bottom w:w="100" w:type="dxa"/>
              <w:left w:w="120" w:type="dxa"/>
              <w:right w:w="120" w:type="dxa"/>
            </w:tcMar>
          </w:tcPr>
          <w:p>
            <w:pPr>
              <w:spacing w:before="0" w:after="0" w:line="240" w:lineRule="auto"/>
            </w:pPr>
            <w:r>
              <w:rPr>
                <w:rFonts w:ascii="Calibri" w:hAnsi="Calibri"/>
                <w:b/>
                <w:color w:val="FFFFFF"/>
                <w:sz w:val="19"/>
              </w:rPr>
              <w:t>Endpoint Route</w:t>
            </w:r>
          </w:p>
        </w:tc>
        <w:tc>
          <w:tcPr>
            <w:tcW w:type="dxa" w:w="1152"/>
            <w:shd w:fill="0F2C59"/>
            <w:tcMar>
              <w:top w:w="100" w:type="dxa"/>
              <w:bottom w:w="100" w:type="dxa"/>
              <w:left w:w="120" w:type="dxa"/>
              <w:right w:w="120" w:type="dxa"/>
            </w:tcMar>
          </w:tcPr>
          <w:p>
            <w:pPr>
              <w:spacing w:before="0" w:after="0" w:line="240" w:lineRule="auto"/>
            </w:pPr>
            <w:r>
              <w:rPr>
                <w:rFonts w:ascii="Calibri" w:hAnsi="Calibri"/>
                <w:b/>
                <w:color w:val="FFFFFF"/>
                <w:sz w:val="19"/>
              </w:rPr>
              <w:t>Method</w:t>
            </w:r>
          </w:p>
        </w:tc>
        <w:tc>
          <w:tcPr>
            <w:tcW w:type="dxa" w:w="1440"/>
            <w:shd w:fill="0F2C59"/>
            <w:tcMar>
              <w:top w:w="100" w:type="dxa"/>
              <w:bottom w:w="100" w:type="dxa"/>
              <w:left w:w="120" w:type="dxa"/>
              <w:right w:w="120" w:type="dxa"/>
            </w:tcMar>
          </w:tcPr>
          <w:p>
            <w:pPr>
              <w:spacing w:before="0" w:after="0" w:line="240" w:lineRule="auto"/>
            </w:pPr>
            <w:r>
              <w:rPr>
                <w:rFonts w:ascii="Calibri" w:hAnsi="Calibri"/>
                <w:b/>
                <w:color w:val="FFFFFF"/>
                <w:sz w:val="19"/>
              </w:rPr>
              <w:t>Auth</w:t>
            </w:r>
          </w:p>
        </w:tc>
        <w:tc>
          <w:tcPr>
            <w:tcW w:type="dxa" w:w="4176"/>
            <w:shd w:fill="0F2C59"/>
            <w:tcMar>
              <w:top w:w="100" w:type="dxa"/>
              <w:bottom w:w="100" w:type="dxa"/>
              <w:left w:w="120" w:type="dxa"/>
              <w:right w:w="120" w:type="dxa"/>
            </w:tcMar>
          </w:tcPr>
          <w:p>
            <w:pPr>
              <w:spacing w:before="0" w:after="0" w:line="240" w:lineRule="auto"/>
            </w:pPr>
            <w:r>
              <w:rPr>
                <w:rFonts w:ascii="Calibri" w:hAnsi="Calibri"/>
                <w:b/>
                <w:color w:val="FFFFFF"/>
                <w:sz w:val="19"/>
              </w:rPr>
              <w:t>Description &amp; Response Schema</w:t>
            </w:r>
          </w:p>
        </w:tc>
      </w:tr>
      <w:tr>
        <w:tc>
          <w:tcPr>
            <w:tcW w:type="dxa" w:w="2592"/>
            <w:tcMar>
              <w:top w:w="80" w:type="dxa"/>
              <w:bottom w:w="80" w:type="dxa"/>
              <w:left w:w="120" w:type="dxa"/>
              <w:right w:w="120" w:type="dxa"/>
            </w:tcMar>
          </w:tcPr>
          <w:p>
            <w:pPr>
              <w:spacing w:before="0" w:after="0" w:line="252" w:lineRule="auto"/>
            </w:pPr>
            <w:r>
              <w:rPr>
                <w:rFonts w:ascii="Calibri" w:hAnsi="Calibri"/>
                <w:color w:val="1E293B"/>
                <w:sz w:val="18"/>
              </w:rPr>
              <w:t>/healthz / /healthz/live</w:t>
            </w:r>
          </w:p>
        </w:tc>
        <w:tc>
          <w:tcPr>
            <w:tcW w:type="dxa" w:w="1152"/>
            <w:tcMar>
              <w:top w:w="80" w:type="dxa"/>
              <w:bottom w:w="80" w:type="dxa"/>
              <w:left w:w="120" w:type="dxa"/>
              <w:right w:w="120" w:type="dxa"/>
            </w:tcMar>
          </w:tcPr>
          <w:p>
            <w:pPr>
              <w:spacing w:before="0" w:after="0" w:line="252" w:lineRule="auto"/>
            </w:pPr>
            <w:r>
              <w:rPr>
                <w:rFonts w:ascii="Calibri" w:hAnsi="Calibri"/>
                <w:color w:val="1E293B"/>
                <w:sz w:val="18"/>
              </w:rPr>
              <w:t>GET</w:t>
            </w:r>
          </w:p>
        </w:tc>
        <w:tc>
          <w:tcPr>
            <w:tcW w:type="dxa" w:w="1440"/>
            <w:tcMar>
              <w:top w:w="80" w:type="dxa"/>
              <w:bottom w:w="80" w:type="dxa"/>
              <w:left w:w="120" w:type="dxa"/>
              <w:right w:w="120" w:type="dxa"/>
            </w:tcMar>
          </w:tcPr>
          <w:p>
            <w:pPr>
              <w:spacing w:before="0" w:after="0" w:line="252" w:lineRule="auto"/>
            </w:pPr>
            <w:r>
              <w:rPr>
                <w:rFonts w:ascii="Calibri" w:hAnsi="Calibri"/>
                <w:color w:val="1E293B"/>
                <w:sz w:val="18"/>
              </w:rPr>
              <w:t>None</w:t>
            </w:r>
          </w:p>
        </w:tc>
        <w:tc>
          <w:tcPr>
            <w:tcW w:type="dxa" w:w="4176"/>
            <w:tcMar>
              <w:top w:w="80" w:type="dxa"/>
              <w:bottom w:w="80" w:type="dxa"/>
              <w:left w:w="120" w:type="dxa"/>
              <w:right w:w="120" w:type="dxa"/>
            </w:tcMar>
          </w:tcPr>
          <w:p>
            <w:pPr>
              <w:spacing w:before="0" w:after="0" w:line="252" w:lineRule="auto"/>
            </w:pPr>
            <w:r>
              <w:rPr>
                <w:rFonts w:ascii="Calibri" w:hAnsi="Calibri"/>
                <w:color w:val="1E293B"/>
                <w:sz w:val="18"/>
              </w:rPr>
              <w:t>Kubernetes liveness probe. Returns {status: 'ok', timestamp: ISO8601}.</w:t>
            </w:r>
          </w:p>
        </w:tc>
      </w:tr>
      <w:tr>
        <w:tc>
          <w:tcPr>
            <w:tcW w:type="dxa" w:w="2592"/>
            <w:shd w:fill="F8FAFC"/>
            <w:tcMar>
              <w:top w:w="80" w:type="dxa"/>
              <w:bottom w:w="80" w:type="dxa"/>
              <w:left w:w="120" w:type="dxa"/>
              <w:right w:w="120" w:type="dxa"/>
            </w:tcMar>
          </w:tcPr>
          <w:p>
            <w:pPr>
              <w:spacing w:before="0" w:after="0" w:line="252" w:lineRule="auto"/>
            </w:pPr>
            <w:r>
              <w:rPr>
                <w:rFonts w:ascii="Calibri" w:hAnsi="Calibri"/>
                <w:color w:val="1E293B"/>
                <w:sz w:val="18"/>
              </w:rPr>
              <w:t>/healthz/ready</w:t>
            </w:r>
          </w:p>
        </w:tc>
        <w:tc>
          <w:tcPr>
            <w:tcW w:type="dxa" w:w="1152"/>
            <w:shd w:fill="F8FAFC"/>
            <w:tcMar>
              <w:top w:w="80" w:type="dxa"/>
              <w:bottom w:w="80" w:type="dxa"/>
              <w:left w:w="120" w:type="dxa"/>
              <w:right w:w="120" w:type="dxa"/>
            </w:tcMar>
          </w:tcPr>
          <w:p>
            <w:pPr>
              <w:spacing w:before="0" w:after="0" w:line="252" w:lineRule="auto"/>
            </w:pPr>
            <w:r>
              <w:rPr>
                <w:rFonts w:ascii="Calibri" w:hAnsi="Calibri"/>
                <w:color w:val="1E293B"/>
                <w:sz w:val="18"/>
              </w:rPr>
              <w:t>GET</w:t>
            </w:r>
          </w:p>
        </w:tc>
        <w:tc>
          <w:tcPr>
            <w:tcW w:type="dxa" w:w="1440"/>
            <w:shd w:fill="F8FAFC"/>
            <w:tcMar>
              <w:top w:w="80" w:type="dxa"/>
              <w:bottom w:w="80" w:type="dxa"/>
              <w:left w:w="120" w:type="dxa"/>
              <w:right w:w="120" w:type="dxa"/>
            </w:tcMar>
          </w:tcPr>
          <w:p>
            <w:pPr>
              <w:spacing w:before="0" w:after="0" w:line="252" w:lineRule="auto"/>
            </w:pPr>
            <w:r>
              <w:rPr>
                <w:rFonts w:ascii="Calibri" w:hAnsi="Calibri"/>
                <w:color w:val="1E293B"/>
                <w:sz w:val="18"/>
              </w:rPr>
              <w:t>None</w:t>
            </w:r>
          </w:p>
        </w:tc>
        <w:tc>
          <w:tcPr>
            <w:tcW w:type="dxa" w:w="4176"/>
            <w:shd w:fill="F8FAFC"/>
            <w:tcMar>
              <w:top w:w="80" w:type="dxa"/>
              <w:bottom w:w="80" w:type="dxa"/>
              <w:left w:w="120" w:type="dxa"/>
              <w:right w:w="120" w:type="dxa"/>
            </w:tcMar>
          </w:tcPr>
          <w:p>
            <w:pPr>
              <w:spacing w:before="0" w:after="0" w:line="252" w:lineRule="auto"/>
            </w:pPr>
            <w:r>
              <w:rPr>
                <w:rFonts w:ascii="Calibri" w:hAnsi="Calibri"/>
                <w:color w:val="1E293B"/>
                <w:sz w:val="18"/>
              </w:rPr>
              <w:t>Readiness probe verifying DB connection, active model status, and weather cache freshness.</w:t>
            </w:r>
          </w:p>
        </w:tc>
      </w:tr>
      <w:tr>
        <w:tc>
          <w:tcPr>
            <w:tcW w:type="dxa" w:w="2592"/>
            <w:tcMar>
              <w:top w:w="80" w:type="dxa"/>
              <w:bottom w:w="80" w:type="dxa"/>
              <w:left w:w="120" w:type="dxa"/>
              <w:right w:w="120" w:type="dxa"/>
            </w:tcMar>
          </w:tcPr>
          <w:p>
            <w:pPr>
              <w:spacing w:before="0" w:after="0" w:line="252" w:lineRule="auto"/>
            </w:pPr>
            <w:r>
              <w:rPr>
                <w:rFonts w:ascii="Calibri" w:hAnsi="Calibri"/>
                <w:color w:val="1E293B"/>
                <w:sz w:val="18"/>
              </w:rPr>
              <w:t>/api/fleet</w:t>
            </w:r>
          </w:p>
        </w:tc>
        <w:tc>
          <w:tcPr>
            <w:tcW w:type="dxa" w:w="1152"/>
            <w:tcMar>
              <w:top w:w="80" w:type="dxa"/>
              <w:bottom w:w="80" w:type="dxa"/>
              <w:left w:w="120" w:type="dxa"/>
              <w:right w:w="120" w:type="dxa"/>
            </w:tcMar>
          </w:tcPr>
          <w:p>
            <w:pPr>
              <w:spacing w:before="0" w:after="0" w:line="252" w:lineRule="auto"/>
            </w:pPr>
            <w:r>
              <w:rPr>
                <w:rFonts w:ascii="Calibri" w:hAnsi="Calibri"/>
                <w:color w:val="1E293B"/>
                <w:sz w:val="18"/>
              </w:rPr>
              <w:t>GET</w:t>
            </w:r>
          </w:p>
        </w:tc>
        <w:tc>
          <w:tcPr>
            <w:tcW w:type="dxa" w:w="1440"/>
            <w:tcMar>
              <w:top w:w="80" w:type="dxa"/>
              <w:bottom w:w="80" w:type="dxa"/>
              <w:left w:w="120" w:type="dxa"/>
              <w:right w:w="120" w:type="dxa"/>
            </w:tcMar>
          </w:tcPr>
          <w:p>
            <w:pPr>
              <w:spacing w:before="0" w:after="0" w:line="252" w:lineRule="auto"/>
            </w:pPr>
            <w:r>
              <w:rPr>
                <w:rFonts w:ascii="Calibri" w:hAnsi="Calibri"/>
                <w:color w:val="1E293B"/>
                <w:sz w:val="18"/>
              </w:rPr>
              <w:t>None</w:t>
            </w:r>
          </w:p>
        </w:tc>
        <w:tc>
          <w:tcPr>
            <w:tcW w:type="dxa" w:w="4176"/>
            <w:tcMar>
              <w:top w:w="80" w:type="dxa"/>
              <w:bottom w:w="80" w:type="dxa"/>
              <w:left w:w="120" w:type="dxa"/>
              <w:right w:w="120" w:type="dxa"/>
            </w:tcMar>
          </w:tcPr>
          <w:p>
            <w:pPr>
              <w:spacing w:before="0" w:after="0" w:line="252" w:lineRule="auto"/>
            </w:pPr>
            <w:r>
              <w:rPr>
                <w:rFonts w:ascii="Calibri" w:hAnsi="Calibri"/>
                <w:color w:val="1E293B"/>
                <w:sz w:val="18"/>
              </w:rPr>
              <w:t>Paginated fleet overview with query date filtering, search (q), urgency filtering, and Today/Tomorrow forecast chips.</w:t>
            </w:r>
          </w:p>
        </w:tc>
      </w:tr>
      <w:tr>
        <w:tc>
          <w:tcPr>
            <w:tcW w:type="dxa" w:w="2592"/>
            <w:shd w:fill="F8FAFC"/>
            <w:tcMar>
              <w:top w:w="80" w:type="dxa"/>
              <w:bottom w:w="80" w:type="dxa"/>
              <w:left w:w="120" w:type="dxa"/>
              <w:right w:w="120" w:type="dxa"/>
            </w:tcMar>
          </w:tcPr>
          <w:p>
            <w:pPr>
              <w:spacing w:before="0" w:after="0" w:line="252" w:lineRule="auto"/>
            </w:pPr>
            <w:r>
              <w:rPr>
                <w:rFonts w:ascii="Calibri" w:hAnsi="Calibri"/>
                <w:color w:val="1E293B"/>
                <w:sz w:val="18"/>
              </w:rPr>
              <w:t>/api/fleet/pool-ids</w:t>
            </w:r>
          </w:p>
        </w:tc>
        <w:tc>
          <w:tcPr>
            <w:tcW w:type="dxa" w:w="1152"/>
            <w:shd w:fill="F8FAFC"/>
            <w:tcMar>
              <w:top w:w="80" w:type="dxa"/>
              <w:bottom w:w="80" w:type="dxa"/>
              <w:left w:w="120" w:type="dxa"/>
              <w:right w:w="120" w:type="dxa"/>
            </w:tcMar>
          </w:tcPr>
          <w:p>
            <w:pPr>
              <w:spacing w:before="0" w:after="0" w:line="252" w:lineRule="auto"/>
            </w:pPr>
            <w:r>
              <w:rPr>
                <w:rFonts w:ascii="Calibri" w:hAnsi="Calibri"/>
                <w:color w:val="1E293B"/>
                <w:sz w:val="18"/>
              </w:rPr>
              <w:t>GET</w:t>
            </w:r>
          </w:p>
        </w:tc>
        <w:tc>
          <w:tcPr>
            <w:tcW w:type="dxa" w:w="1440"/>
            <w:shd w:fill="F8FAFC"/>
            <w:tcMar>
              <w:top w:w="80" w:type="dxa"/>
              <w:bottom w:w="80" w:type="dxa"/>
              <w:left w:w="120" w:type="dxa"/>
              <w:right w:w="120" w:type="dxa"/>
            </w:tcMar>
          </w:tcPr>
          <w:p>
            <w:pPr>
              <w:spacing w:before="0" w:after="0" w:line="252" w:lineRule="auto"/>
            </w:pPr>
            <w:r>
              <w:rPr>
                <w:rFonts w:ascii="Calibri" w:hAnsi="Calibri"/>
                <w:color w:val="1E293B"/>
                <w:sz w:val="18"/>
              </w:rPr>
              <w:t>None</w:t>
            </w:r>
          </w:p>
        </w:tc>
        <w:tc>
          <w:tcPr>
            <w:tcW w:type="dxa" w:w="4176"/>
            <w:shd w:fill="F8FAFC"/>
            <w:tcMar>
              <w:top w:w="80" w:type="dxa"/>
              <w:bottom w:w="80" w:type="dxa"/>
              <w:left w:w="120" w:type="dxa"/>
              <w:right w:w="120" w:type="dxa"/>
            </w:tcMar>
          </w:tcPr>
          <w:p>
            <w:pPr>
              <w:spacing w:before="0" w:after="0" w:line="252" w:lineRule="auto"/>
            </w:pPr>
            <w:r>
              <w:rPr>
                <w:rFonts w:ascii="Calibri" w:hAnsi="Calibri"/>
                <w:color w:val="1E293B"/>
                <w:sz w:val="18"/>
              </w:rPr>
              <w:t>Returns an array of all active registered pool IDs.</w:t>
            </w:r>
          </w:p>
        </w:tc>
      </w:tr>
      <w:tr>
        <w:tc>
          <w:tcPr>
            <w:tcW w:type="dxa" w:w="2592"/>
            <w:tcMar>
              <w:top w:w="80" w:type="dxa"/>
              <w:bottom w:w="80" w:type="dxa"/>
              <w:left w:w="120" w:type="dxa"/>
              <w:right w:w="120" w:type="dxa"/>
            </w:tcMar>
          </w:tcPr>
          <w:p>
            <w:pPr>
              <w:spacing w:before="0" w:after="0" w:line="252" w:lineRule="auto"/>
            </w:pPr>
            <w:r>
              <w:rPr>
                <w:rFonts w:ascii="Calibri" w:hAnsi="Calibri"/>
                <w:color w:val="1E293B"/>
                <w:sz w:val="18"/>
              </w:rPr>
              <w:t>/api/fleet/dates</w:t>
            </w:r>
          </w:p>
        </w:tc>
        <w:tc>
          <w:tcPr>
            <w:tcW w:type="dxa" w:w="1152"/>
            <w:tcMar>
              <w:top w:w="80" w:type="dxa"/>
              <w:bottom w:w="80" w:type="dxa"/>
              <w:left w:w="120" w:type="dxa"/>
              <w:right w:w="120" w:type="dxa"/>
            </w:tcMar>
          </w:tcPr>
          <w:p>
            <w:pPr>
              <w:spacing w:before="0" w:after="0" w:line="252" w:lineRule="auto"/>
            </w:pPr>
            <w:r>
              <w:rPr>
                <w:rFonts w:ascii="Calibri" w:hAnsi="Calibri"/>
                <w:color w:val="1E293B"/>
                <w:sz w:val="18"/>
              </w:rPr>
              <w:t>GET</w:t>
            </w:r>
          </w:p>
        </w:tc>
        <w:tc>
          <w:tcPr>
            <w:tcW w:type="dxa" w:w="1440"/>
            <w:tcMar>
              <w:top w:w="80" w:type="dxa"/>
              <w:bottom w:w="80" w:type="dxa"/>
              <w:left w:w="120" w:type="dxa"/>
              <w:right w:w="120" w:type="dxa"/>
            </w:tcMar>
          </w:tcPr>
          <w:p>
            <w:pPr>
              <w:spacing w:before="0" w:after="0" w:line="252" w:lineRule="auto"/>
            </w:pPr>
            <w:r>
              <w:rPr>
                <w:rFonts w:ascii="Calibri" w:hAnsi="Calibri"/>
                <w:color w:val="1E293B"/>
                <w:sz w:val="18"/>
              </w:rPr>
              <w:t>None</w:t>
            </w:r>
          </w:p>
        </w:tc>
        <w:tc>
          <w:tcPr>
            <w:tcW w:type="dxa" w:w="4176"/>
            <w:tcMar>
              <w:top w:w="80" w:type="dxa"/>
              <w:bottom w:w="80" w:type="dxa"/>
              <w:left w:w="120" w:type="dxa"/>
              <w:right w:w="120" w:type="dxa"/>
            </w:tcMar>
          </w:tcPr>
          <w:p>
            <w:pPr>
              <w:spacing w:before="0" w:after="0" w:line="252" w:lineRule="auto"/>
            </w:pPr>
            <w:r>
              <w:rPr>
                <w:rFonts w:ascii="Calibri" w:hAnsi="Calibri"/>
                <w:color w:val="1E293B"/>
                <w:sz w:val="18"/>
              </w:rPr>
              <w:t>Returns min date, max date, and total active dates in the fleet readings history.</w:t>
            </w:r>
          </w:p>
        </w:tc>
      </w:tr>
      <w:tr>
        <w:tc>
          <w:tcPr>
            <w:tcW w:type="dxa" w:w="2592"/>
            <w:shd w:fill="F8FAFC"/>
            <w:tcMar>
              <w:top w:w="80" w:type="dxa"/>
              <w:bottom w:w="80" w:type="dxa"/>
              <w:left w:w="120" w:type="dxa"/>
              <w:right w:w="120" w:type="dxa"/>
            </w:tcMar>
          </w:tcPr>
          <w:p>
            <w:pPr>
              <w:spacing w:before="0" w:after="0" w:line="252" w:lineRule="auto"/>
            </w:pPr>
            <w:r>
              <w:rPr>
                <w:rFonts w:ascii="Calibri" w:hAnsi="Calibri"/>
                <w:color w:val="1E293B"/>
                <w:sz w:val="18"/>
              </w:rPr>
              <w:t>/api/pool/{pool_id}</w:t>
            </w:r>
          </w:p>
        </w:tc>
        <w:tc>
          <w:tcPr>
            <w:tcW w:type="dxa" w:w="1152"/>
            <w:shd w:fill="F8FAFC"/>
            <w:tcMar>
              <w:top w:w="80" w:type="dxa"/>
              <w:bottom w:w="80" w:type="dxa"/>
              <w:left w:w="120" w:type="dxa"/>
              <w:right w:w="120" w:type="dxa"/>
            </w:tcMar>
          </w:tcPr>
          <w:p>
            <w:pPr>
              <w:spacing w:before="0" w:after="0" w:line="252" w:lineRule="auto"/>
            </w:pPr>
            <w:r>
              <w:rPr>
                <w:rFonts w:ascii="Calibri" w:hAnsi="Calibri"/>
                <w:color w:val="1E293B"/>
                <w:sz w:val="18"/>
              </w:rPr>
              <w:t>GET</w:t>
            </w:r>
          </w:p>
        </w:tc>
        <w:tc>
          <w:tcPr>
            <w:tcW w:type="dxa" w:w="1440"/>
            <w:shd w:fill="F8FAFC"/>
            <w:tcMar>
              <w:top w:w="80" w:type="dxa"/>
              <w:bottom w:w="80" w:type="dxa"/>
              <w:left w:w="120" w:type="dxa"/>
              <w:right w:w="120" w:type="dxa"/>
            </w:tcMar>
          </w:tcPr>
          <w:p>
            <w:pPr>
              <w:spacing w:before="0" w:after="0" w:line="252" w:lineRule="auto"/>
            </w:pPr>
            <w:r>
              <w:rPr>
                <w:rFonts w:ascii="Calibri" w:hAnsi="Calibri"/>
                <w:color w:val="1E293B"/>
                <w:sz w:val="18"/>
              </w:rPr>
              <w:t>None</w:t>
            </w:r>
          </w:p>
        </w:tc>
        <w:tc>
          <w:tcPr>
            <w:tcW w:type="dxa" w:w="4176"/>
            <w:shd w:fill="F8FAFC"/>
            <w:tcMar>
              <w:top w:w="80" w:type="dxa"/>
              <w:bottom w:w="80" w:type="dxa"/>
              <w:left w:w="120" w:type="dxa"/>
              <w:right w:w="120" w:type="dxa"/>
            </w:tcMar>
          </w:tcPr>
          <w:p>
            <w:pPr>
              <w:spacing w:before="0" w:after="0" w:line="252" w:lineRule="auto"/>
            </w:pPr>
            <w:r>
              <w:rPr>
                <w:rFonts w:ascii="Calibri" w:hAnsi="Calibri"/>
                <w:color w:val="1E293B"/>
                <w:sz w:val="18"/>
              </w:rPr>
              <w:t>Complete pool analytics: latest measurements, chained multi-day forecast with uncertainty bands, history time-series, and dosing recommendation.</w:t>
            </w:r>
          </w:p>
        </w:tc>
      </w:tr>
      <w:tr>
        <w:tc>
          <w:tcPr>
            <w:tcW w:type="dxa" w:w="2592"/>
            <w:tcMar>
              <w:top w:w="80" w:type="dxa"/>
              <w:bottom w:w="80" w:type="dxa"/>
              <w:left w:w="120" w:type="dxa"/>
              <w:right w:w="120" w:type="dxa"/>
            </w:tcMar>
          </w:tcPr>
          <w:p>
            <w:pPr>
              <w:spacing w:before="0" w:after="0" w:line="252" w:lineRule="auto"/>
            </w:pPr>
            <w:r>
              <w:rPr>
                <w:rFonts w:ascii="Calibri" w:hAnsi="Calibri"/>
                <w:color w:val="1E293B"/>
                <w:sz w:val="18"/>
              </w:rPr>
              <w:t>/api/optimise/{pool_id}</w:t>
            </w:r>
          </w:p>
        </w:tc>
        <w:tc>
          <w:tcPr>
            <w:tcW w:type="dxa" w:w="1152"/>
            <w:tcMar>
              <w:top w:w="80" w:type="dxa"/>
              <w:bottom w:w="80" w:type="dxa"/>
              <w:left w:w="120" w:type="dxa"/>
              <w:right w:w="120" w:type="dxa"/>
            </w:tcMar>
          </w:tcPr>
          <w:p>
            <w:pPr>
              <w:spacing w:before="0" w:after="0" w:line="252" w:lineRule="auto"/>
            </w:pPr>
            <w:r>
              <w:rPr>
                <w:rFonts w:ascii="Calibri" w:hAnsi="Calibri"/>
                <w:color w:val="1E293B"/>
                <w:sz w:val="18"/>
              </w:rPr>
              <w:t>GET</w:t>
            </w:r>
          </w:p>
        </w:tc>
        <w:tc>
          <w:tcPr>
            <w:tcW w:type="dxa" w:w="1440"/>
            <w:tcMar>
              <w:top w:w="80" w:type="dxa"/>
              <w:bottom w:w="80" w:type="dxa"/>
              <w:left w:w="120" w:type="dxa"/>
              <w:right w:w="120" w:type="dxa"/>
            </w:tcMar>
          </w:tcPr>
          <w:p>
            <w:pPr>
              <w:spacing w:before="0" w:after="0" w:line="252" w:lineRule="auto"/>
            </w:pPr>
            <w:r>
              <w:rPr>
                <w:rFonts w:ascii="Calibri" w:hAnsi="Calibri"/>
                <w:color w:val="1E293B"/>
                <w:sz w:val="18"/>
              </w:rPr>
              <w:t>None</w:t>
            </w:r>
          </w:p>
        </w:tc>
        <w:tc>
          <w:tcPr>
            <w:tcW w:type="dxa" w:w="4176"/>
            <w:tcMar>
              <w:top w:w="80" w:type="dxa"/>
              <w:bottom w:w="80" w:type="dxa"/>
              <w:left w:w="120" w:type="dxa"/>
              <w:right w:w="120" w:type="dxa"/>
            </w:tcMar>
          </w:tcPr>
          <w:p>
            <w:pPr>
              <w:spacing w:before="0" w:after="0" w:line="252" w:lineRule="auto"/>
            </w:pPr>
            <w:r>
              <w:rPr>
                <w:rFonts w:ascii="Calibri" w:hAnsi="Calibri"/>
                <w:color w:val="1E293B"/>
                <w:sz w:val="18"/>
              </w:rPr>
              <w:t>Executes 525-grid search for pool; returns recommended pump % and hours, predicted outcome, and top-3 configurations.</w:t>
            </w:r>
          </w:p>
        </w:tc>
      </w:tr>
      <w:tr>
        <w:tc>
          <w:tcPr>
            <w:tcW w:type="dxa" w:w="2592"/>
            <w:shd w:fill="F8FAFC"/>
            <w:tcMar>
              <w:top w:w="80" w:type="dxa"/>
              <w:bottom w:w="80" w:type="dxa"/>
              <w:left w:w="120" w:type="dxa"/>
              <w:right w:w="120" w:type="dxa"/>
            </w:tcMar>
          </w:tcPr>
          <w:p>
            <w:pPr>
              <w:spacing w:before="0" w:after="0" w:line="252" w:lineRule="auto"/>
            </w:pPr>
            <w:r>
              <w:rPr>
                <w:rFonts w:ascii="Calibri" w:hAnsi="Calibri"/>
                <w:color w:val="1E293B"/>
                <w:sz w:val="18"/>
              </w:rPr>
              <w:t>/api/upload</w:t>
            </w:r>
          </w:p>
        </w:tc>
        <w:tc>
          <w:tcPr>
            <w:tcW w:type="dxa" w:w="1152"/>
            <w:shd w:fill="F8FAFC"/>
            <w:tcMar>
              <w:top w:w="80" w:type="dxa"/>
              <w:bottom w:w="80" w:type="dxa"/>
              <w:left w:w="120" w:type="dxa"/>
              <w:right w:w="120" w:type="dxa"/>
            </w:tcMar>
          </w:tcPr>
          <w:p>
            <w:pPr>
              <w:spacing w:before="0" w:after="0" w:line="252" w:lineRule="auto"/>
            </w:pPr>
            <w:r>
              <w:rPr>
                <w:rFonts w:ascii="Calibri" w:hAnsi="Calibri"/>
                <w:color w:val="1E293B"/>
                <w:sz w:val="18"/>
              </w:rPr>
              <w:t>POST</w:t>
            </w:r>
          </w:p>
        </w:tc>
        <w:tc>
          <w:tcPr>
            <w:tcW w:type="dxa" w:w="1440"/>
            <w:shd w:fill="F8FAFC"/>
            <w:tcMar>
              <w:top w:w="80" w:type="dxa"/>
              <w:bottom w:w="80" w:type="dxa"/>
              <w:left w:w="120" w:type="dxa"/>
              <w:right w:w="120" w:type="dxa"/>
            </w:tcMar>
          </w:tcPr>
          <w:p>
            <w:pPr>
              <w:spacing w:before="0" w:after="0" w:line="252" w:lineRule="auto"/>
            </w:pPr>
            <w:r>
              <w:rPr>
                <w:rFonts w:ascii="Calibri" w:hAnsi="Calibri"/>
                <w:color w:val="1E293B"/>
                <w:sz w:val="18"/>
              </w:rPr>
              <w:t>None</w:t>
            </w:r>
          </w:p>
        </w:tc>
        <w:tc>
          <w:tcPr>
            <w:tcW w:type="dxa" w:w="4176"/>
            <w:shd w:fill="F8FAFC"/>
            <w:tcMar>
              <w:top w:w="80" w:type="dxa"/>
              <w:bottom w:w="80" w:type="dxa"/>
              <w:left w:w="120" w:type="dxa"/>
              <w:right w:w="120" w:type="dxa"/>
            </w:tcMar>
          </w:tcPr>
          <w:p>
            <w:pPr>
              <w:spacing w:before="0" w:after="0" w:line="252" w:lineRule="auto"/>
            </w:pPr>
            <w:r>
              <w:rPr>
                <w:rFonts w:ascii="Calibri" w:hAnsi="Calibri"/>
                <w:color w:val="1E293B"/>
                <w:sz w:val="18"/>
              </w:rPr>
              <w:t>Uploads Excel/CSV file (max 15MB); returns auto-detected column mappings and 5-row preview.</w:t>
            </w:r>
          </w:p>
        </w:tc>
      </w:tr>
      <w:tr>
        <w:tc>
          <w:tcPr>
            <w:tcW w:type="dxa" w:w="2592"/>
            <w:tcMar>
              <w:top w:w="80" w:type="dxa"/>
              <w:bottom w:w="80" w:type="dxa"/>
              <w:left w:w="120" w:type="dxa"/>
              <w:right w:w="120" w:type="dxa"/>
            </w:tcMar>
          </w:tcPr>
          <w:p>
            <w:pPr>
              <w:spacing w:before="0" w:after="0" w:line="252" w:lineRule="auto"/>
            </w:pPr>
            <w:r>
              <w:rPr>
                <w:rFonts w:ascii="Calibri" w:hAnsi="Calibri"/>
                <w:color w:val="1E293B"/>
                <w:sz w:val="18"/>
              </w:rPr>
              <w:t>/api/map-columns</w:t>
            </w:r>
          </w:p>
        </w:tc>
        <w:tc>
          <w:tcPr>
            <w:tcW w:type="dxa" w:w="1152"/>
            <w:tcMar>
              <w:top w:w="80" w:type="dxa"/>
              <w:bottom w:w="80" w:type="dxa"/>
              <w:left w:w="120" w:type="dxa"/>
              <w:right w:w="120" w:type="dxa"/>
            </w:tcMar>
          </w:tcPr>
          <w:p>
            <w:pPr>
              <w:spacing w:before="0" w:after="0" w:line="252" w:lineRule="auto"/>
            </w:pPr>
            <w:r>
              <w:rPr>
                <w:rFonts w:ascii="Calibri" w:hAnsi="Calibri"/>
                <w:color w:val="1E293B"/>
                <w:sz w:val="18"/>
              </w:rPr>
              <w:t>POST</w:t>
            </w:r>
          </w:p>
        </w:tc>
        <w:tc>
          <w:tcPr>
            <w:tcW w:type="dxa" w:w="1440"/>
            <w:tcMar>
              <w:top w:w="80" w:type="dxa"/>
              <w:bottom w:w="80" w:type="dxa"/>
              <w:left w:w="120" w:type="dxa"/>
              <w:right w:w="120" w:type="dxa"/>
            </w:tcMar>
          </w:tcPr>
          <w:p>
            <w:pPr>
              <w:spacing w:before="0" w:after="0" w:line="252" w:lineRule="auto"/>
            </w:pPr>
            <w:r>
              <w:rPr>
                <w:rFonts w:ascii="Calibri" w:hAnsi="Calibri"/>
                <w:color w:val="1E293B"/>
                <w:sz w:val="18"/>
              </w:rPr>
              <w:t>None</w:t>
            </w:r>
          </w:p>
        </w:tc>
        <w:tc>
          <w:tcPr>
            <w:tcW w:type="dxa" w:w="4176"/>
            <w:tcMar>
              <w:top w:w="80" w:type="dxa"/>
              <w:bottom w:w="80" w:type="dxa"/>
              <w:left w:w="120" w:type="dxa"/>
              <w:right w:w="120" w:type="dxa"/>
            </w:tcMar>
          </w:tcPr>
          <w:p>
            <w:pPr>
              <w:spacing w:before="0" w:after="0" w:line="252" w:lineRule="auto"/>
            </w:pPr>
            <w:r>
              <w:rPr>
                <w:rFonts w:ascii="Calibri" w:hAnsi="Calibri"/>
                <w:color w:val="1E293B"/>
                <w:sz w:val="18"/>
              </w:rPr>
              <w:t>Confirms column mapping for upload_id; imports valid rows into PostgreSQL and records ingest log.</w:t>
            </w:r>
          </w:p>
        </w:tc>
      </w:tr>
      <w:tr>
        <w:tc>
          <w:tcPr>
            <w:tcW w:type="dxa" w:w="2592"/>
            <w:shd w:fill="F8FAFC"/>
            <w:tcMar>
              <w:top w:w="80" w:type="dxa"/>
              <w:bottom w:w="80" w:type="dxa"/>
              <w:left w:w="120" w:type="dxa"/>
              <w:right w:w="120" w:type="dxa"/>
            </w:tcMar>
          </w:tcPr>
          <w:p>
            <w:pPr>
              <w:spacing w:before="0" w:after="0" w:line="252" w:lineRule="auto"/>
            </w:pPr>
            <w:r>
              <w:rPr>
                <w:rFonts w:ascii="Calibri" w:hAnsi="Calibri"/>
                <w:color w:val="1E293B"/>
                <w:sz w:val="18"/>
              </w:rPr>
              <w:t>/api/readings</w:t>
            </w:r>
          </w:p>
        </w:tc>
        <w:tc>
          <w:tcPr>
            <w:tcW w:type="dxa" w:w="1152"/>
            <w:shd w:fill="F8FAFC"/>
            <w:tcMar>
              <w:top w:w="80" w:type="dxa"/>
              <w:bottom w:w="80" w:type="dxa"/>
              <w:left w:w="120" w:type="dxa"/>
              <w:right w:w="120" w:type="dxa"/>
            </w:tcMar>
          </w:tcPr>
          <w:p>
            <w:pPr>
              <w:spacing w:before="0" w:after="0" w:line="252" w:lineRule="auto"/>
            </w:pPr>
            <w:r>
              <w:rPr>
                <w:rFonts w:ascii="Calibri" w:hAnsi="Calibri"/>
                <w:color w:val="1E293B"/>
                <w:sz w:val="18"/>
              </w:rPr>
              <w:t>POST</w:t>
            </w:r>
          </w:p>
        </w:tc>
        <w:tc>
          <w:tcPr>
            <w:tcW w:type="dxa" w:w="1440"/>
            <w:shd w:fill="F8FAFC"/>
            <w:tcMar>
              <w:top w:w="80" w:type="dxa"/>
              <w:bottom w:w="80" w:type="dxa"/>
              <w:left w:w="120" w:type="dxa"/>
              <w:right w:w="120" w:type="dxa"/>
            </w:tcMar>
          </w:tcPr>
          <w:p>
            <w:pPr>
              <w:spacing w:before="0" w:after="0" w:line="252" w:lineRule="auto"/>
            </w:pPr>
            <w:r>
              <w:rPr>
                <w:rFonts w:ascii="Calibri" w:hAnsi="Calibri"/>
                <w:color w:val="1E293B"/>
                <w:sz w:val="18"/>
              </w:rPr>
              <w:t>None</w:t>
            </w:r>
          </w:p>
        </w:tc>
        <w:tc>
          <w:tcPr>
            <w:tcW w:type="dxa" w:w="4176"/>
            <w:shd w:fill="F8FAFC"/>
            <w:tcMar>
              <w:top w:w="80" w:type="dxa"/>
              <w:bottom w:w="80" w:type="dxa"/>
              <w:left w:w="120" w:type="dxa"/>
              <w:right w:w="120" w:type="dxa"/>
            </w:tcMar>
          </w:tcPr>
          <w:p>
            <w:pPr>
              <w:spacing w:before="0" w:after="0" w:line="252" w:lineRule="auto"/>
            </w:pPr>
            <w:r>
              <w:rPr>
                <w:rFonts w:ascii="Calibri" w:hAnsi="Calibri"/>
                <w:color w:val="1E293B"/>
                <w:sz w:val="18"/>
              </w:rPr>
              <w:t>Accepts single manual technician reading; validates chemical ranges and upserts into database.</w:t>
            </w:r>
          </w:p>
        </w:tc>
      </w:tr>
      <w:tr>
        <w:tc>
          <w:tcPr>
            <w:tcW w:type="dxa" w:w="2592"/>
            <w:tcMar>
              <w:top w:w="80" w:type="dxa"/>
              <w:bottom w:w="80" w:type="dxa"/>
              <w:left w:w="120" w:type="dxa"/>
              <w:right w:w="120" w:type="dxa"/>
            </w:tcMar>
          </w:tcPr>
          <w:p>
            <w:pPr>
              <w:spacing w:before="0" w:after="0" w:line="252" w:lineRule="auto"/>
            </w:pPr>
            <w:r>
              <w:rPr>
                <w:rFonts w:ascii="Calibri" w:hAnsi="Calibri"/>
                <w:color w:val="1E293B"/>
                <w:sz w:val="18"/>
              </w:rPr>
              <w:t>/api/ingest/readings</w:t>
            </w:r>
          </w:p>
        </w:tc>
        <w:tc>
          <w:tcPr>
            <w:tcW w:type="dxa" w:w="1152"/>
            <w:tcMar>
              <w:top w:w="80" w:type="dxa"/>
              <w:bottom w:w="80" w:type="dxa"/>
              <w:left w:w="120" w:type="dxa"/>
              <w:right w:w="120" w:type="dxa"/>
            </w:tcMar>
          </w:tcPr>
          <w:p>
            <w:pPr>
              <w:spacing w:before="0" w:after="0" w:line="252" w:lineRule="auto"/>
            </w:pPr>
            <w:r>
              <w:rPr>
                <w:rFonts w:ascii="Calibri" w:hAnsi="Calibri"/>
                <w:color w:val="1E293B"/>
                <w:sz w:val="18"/>
              </w:rPr>
              <w:t>POST</w:t>
            </w:r>
          </w:p>
        </w:tc>
        <w:tc>
          <w:tcPr>
            <w:tcW w:type="dxa" w:w="1440"/>
            <w:tcMar>
              <w:top w:w="80" w:type="dxa"/>
              <w:bottom w:w="80" w:type="dxa"/>
              <w:left w:w="120" w:type="dxa"/>
              <w:right w:w="120" w:type="dxa"/>
            </w:tcMar>
          </w:tcPr>
          <w:p>
            <w:pPr>
              <w:spacing w:before="0" w:after="0" w:line="252" w:lineRule="auto"/>
            </w:pPr>
            <w:r>
              <w:rPr>
                <w:rFonts w:ascii="Calibri" w:hAnsi="Calibri"/>
                <w:color w:val="1E293B"/>
                <w:sz w:val="18"/>
              </w:rPr>
              <w:t>Bearer (opt)</w:t>
            </w:r>
          </w:p>
        </w:tc>
        <w:tc>
          <w:tcPr>
            <w:tcW w:type="dxa" w:w="4176"/>
            <w:tcMar>
              <w:top w:w="80" w:type="dxa"/>
              <w:bottom w:w="80" w:type="dxa"/>
              <w:left w:w="120" w:type="dxa"/>
              <w:right w:w="120" w:type="dxa"/>
            </w:tcMar>
          </w:tcPr>
          <w:p>
            <w:pPr>
              <w:spacing w:before="0" w:after="0" w:line="252" w:lineRule="auto"/>
            </w:pPr>
            <w:r>
              <w:rPr>
                <w:rFonts w:ascii="Calibri" w:hAnsi="Calibri"/>
                <w:color w:val="1E293B"/>
                <w:sz w:val="18"/>
              </w:rPr>
              <w:t>Programmatic ingestion endpoint accepting JSON array of reading objects.</w:t>
            </w:r>
          </w:p>
        </w:tc>
      </w:tr>
      <w:tr>
        <w:tc>
          <w:tcPr>
            <w:tcW w:type="dxa" w:w="2592"/>
            <w:shd w:fill="F8FAFC"/>
            <w:tcMar>
              <w:top w:w="80" w:type="dxa"/>
              <w:bottom w:w="80" w:type="dxa"/>
              <w:left w:w="120" w:type="dxa"/>
              <w:right w:w="120" w:type="dxa"/>
            </w:tcMar>
          </w:tcPr>
          <w:p>
            <w:pPr>
              <w:spacing w:before="0" w:after="0" w:line="252" w:lineRule="auto"/>
            </w:pPr>
            <w:r>
              <w:rPr>
                <w:rFonts w:ascii="Calibri" w:hAnsi="Calibri"/>
                <w:color w:val="1E293B"/>
                <w:sz w:val="18"/>
              </w:rPr>
              <w:t>/api/ingest/readings/file</w:t>
            </w:r>
          </w:p>
        </w:tc>
        <w:tc>
          <w:tcPr>
            <w:tcW w:type="dxa" w:w="1152"/>
            <w:shd w:fill="F8FAFC"/>
            <w:tcMar>
              <w:top w:w="80" w:type="dxa"/>
              <w:bottom w:w="80" w:type="dxa"/>
              <w:left w:w="120" w:type="dxa"/>
              <w:right w:w="120" w:type="dxa"/>
            </w:tcMar>
          </w:tcPr>
          <w:p>
            <w:pPr>
              <w:spacing w:before="0" w:after="0" w:line="252" w:lineRule="auto"/>
            </w:pPr>
            <w:r>
              <w:rPr>
                <w:rFonts w:ascii="Calibri" w:hAnsi="Calibri"/>
                <w:color w:val="1E293B"/>
                <w:sz w:val="18"/>
              </w:rPr>
              <w:t>POST</w:t>
            </w:r>
          </w:p>
        </w:tc>
        <w:tc>
          <w:tcPr>
            <w:tcW w:type="dxa" w:w="1440"/>
            <w:shd w:fill="F8FAFC"/>
            <w:tcMar>
              <w:top w:w="80" w:type="dxa"/>
              <w:bottom w:w="80" w:type="dxa"/>
              <w:left w:w="120" w:type="dxa"/>
              <w:right w:w="120" w:type="dxa"/>
            </w:tcMar>
          </w:tcPr>
          <w:p>
            <w:pPr>
              <w:spacing w:before="0" w:after="0" w:line="252" w:lineRule="auto"/>
            </w:pPr>
            <w:r>
              <w:rPr>
                <w:rFonts w:ascii="Calibri" w:hAnsi="Calibri"/>
                <w:color w:val="1E293B"/>
                <w:sz w:val="18"/>
              </w:rPr>
              <w:t>Bearer (opt)</w:t>
            </w:r>
          </w:p>
        </w:tc>
        <w:tc>
          <w:tcPr>
            <w:tcW w:type="dxa" w:w="4176"/>
            <w:shd w:fill="F8FAFC"/>
            <w:tcMar>
              <w:top w:w="80" w:type="dxa"/>
              <w:bottom w:w="80" w:type="dxa"/>
              <w:left w:w="120" w:type="dxa"/>
              <w:right w:w="120" w:type="dxa"/>
            </w:tcMar>
          </w:tcPr>
          <w:p>
            <w:pPr>
              <w:spacing w:before="0" w:after="0" w:line="252" w:lineRule="auto"/>
            </w:pPr>
            <w:r>
              <w:rPr>
                <w:rFonts w:ascii="Calibri" w:hAnsi="Calibri"/>
                <w:color w:val="1E293B"/>
                <w:sz w:val="18"/>
              </w:rPr>
              <w:t>Programmatic multipart file ingest endpoint with auto-mapping.</w:t>
            </w:r>
          </w:p>
        </w:tc>
      </w:tr>
      <w:tr>
        <w:tc>
          <w:tcPr>
            <w:tcW w:type="dxa" w:w="2592"/>
            <w:tcMar>
              <w:top w:w="80" w:type="dxa"/>
              <w:bottom w:w="80" w:type="dxa"/>
              <w:left w:w="120" w:type="dxa"/>
              <w:right w:w="120" w:type="dxa"/>
            </w:tcMar>
          </w:tcPr>
          <w:p>
            <w:pPr>
              <w:spacing w:before="0" w:after="0" w:line="252" w:lineRule="auto"/>
            </w:pPr>
            <w:r>
              <w:rPr>
                <w:rFonts w:ascii="Calibri" w:hAnsi="Calibri"/>
                <w:color w:val="1E293B"/>
                <w:sz w:val="18"/>
              </w:rPr>
              <w:t>/api/admin/runs</w:t>
            </w:r>
          </w:p>
        </w:tc>
        <w:tc>
          <w:tcPr>
            <w:tcW w:type="dxa" w:w="1152"/>
            <w:tcMar>
              <w:top w:w="80" w:type="dxa"/>
              <w:bottom w:w="80" w:type="dxa"/>
              <w:left w:w="120" w:type="dxa"/>
              <w:right w:w="120" w:type="dxa"/>
            </w:tcMar>
          </w:tcPr>
          <w:p>
            <w:pPr>
              <w:spacing w:before="0" w:after="0" w:line="252" w:lineRule="auto"/>
            </w:pPr>
            <w:r>
              <w:rPr>
                <w:rFonts w:ascii="Calibri" w:hAnsi="Calibri"/>
                <w:color w:val="1E293B"/>
                <w:sz w:val="18"/>
              </w:rPr>
              <w:t>GET</w:t>
            </w:r>
          </w:p>
        </w:tc>
        <w:tc>
          <w:tcPr>
            <w:tcW w:type="dxa" w:w="1440"/>
            <w:tcMar>
              <w:top w:w="80" w:type="dxa"/>
              <w:bottom w:w="80" w:type="dxa"/>
              <w:left w:w="120" w:type="dxa"/>
              <w:right w:w="120" w:type="dxa"/>
            </w:tcMar>
          </w:tcPr>
          <w:p>
            <w:pPr>
              <w:spacing w:before="0" w:after="0" w:line="252" w:lineRule="auto"/>
            </w:pPr>
            <w:r>
              <w:rPr>
                <w:rFonts w:ascii="Calibri" w:hAnsi="Calibri"/>
                <w:color w:val="1E293B"/>
                <w:sz w:val="18"/>
              </w:rPr>
              <w:t>Admin Token</w:t>
            </w:r>
          </w:p>
        </w:tc>
        <w:tc>
          <w:tcPr>
            <w:tcW w:type="dxa" w:w="4176"/>
            <w:tcMar>
              <w:top w:w="80" w:type="dxa"/>
              <w:bottom w:w="80" w:type="dxa"/>
              <w:left w:w="120" w:type="dxa"/>
              <w:right w:w="120" w:type="dxa"/>
            </w:tcMar>
          </w:tcPr>
          <w:p>
            <w:pPr>
              <w:spacing w:before="0" w:after="0" w:line="252" w:lineRule="auto"/>
            </w:pPr>
            <w:r>
              <w:rPr>
                <w:rFonts w:ascii="Calibri" w:hAnsi="Calibri"/>
                <w:color w:val="1E293B"/>
                <w:sz w:val="18"/>
              </w:rPr>
              <w:t>Lists historical model runs, test metrics, promotion timestamps, and active status.</w:t>
            </w:r>
          </w:p>
        </w:tc>
      </w:tr>
      <w:tr>
        <w:tc>
          <w:tcPr>
            <w:tcW w:type="dxa" w:w="2592"/>
            <w:shd w:fill="F8FAFC"/>
            <w:tcMar>
              <w:top w:w="80" w:type="dxa"/>
              <w:bottom w:w="80" w:type="dxa"/>
              <w:left w:w="120" w:type="dxa"/>
              <w:right w:w="120" w:type="dxa"/>
            </w:tcMar>
          </w:tcPr>
          <w:p>
            <w:pPr>
              <w:spacing w:before="0" w:after="0" w:line="252" w:lineRule="auto"/>
            </w:pPr>
            <w:r>
              <w:rPr>
                <w:rFonts w:ascii="Calibri" w:hAnsi="Calibri"/>
                <w:color w:val="1E293B"/>
                <w:sz w:val="18"/>
              </w:rPr>
              <w:t>/api/admin/retrain</w:t>
            </w:r>
          </w:p>
        </w:tc>
        <w:tc>
          <w:tcPr>
            <w:tcW w:type="dxa" w:w="1152"/>
            <w:shd w:fill="F8FAFC"/>
            <w:tcMar>
              <w:top w:w="80" w:type="dxa"/>
              <w:bottom w:w="80" w:type="dxa"/>
              <w:left w:w="120" w:type="dxa"/>
              <w:right w:w="120" w:type="dxa"/>
            </w:tcMar>
          </w:tcPr>
          <w:p>
            <w:pPr>
              <w:spacing w:before="0" w:after="0" w:line="252" w:lineRule="auto"/>
            </w:pPr>
            <w:r>
              <w:rPr>
                <w:rFonts w:ascii="Calibri" w:hAnsi="Calibri"/>
                <w:color w:val="1E293B"/>
                <w:sz w:val="18"/>
              </w:rPr>
              <w:t>POST</w:t>
            </w:r>
          </w:p>
        </w:tc>
        <w:tc>
          <w:tcPr>
            <w:tcW w:type="dxa" w:w="1440"/>
            <w:shd w:fill="F8FAFC"/>
            <w:tcMar>
              <w:top w:w="80" w:type="dxa"/>
              <w:bottom w:w="80" w:type="dxa"/>
              <w:left w:w="120" w:type="dxa"/>
              <w:right w:w="120" w:type="dxa"/>
            </w:tcMar>
          </w:tcPr>
          <w:p>
            <w:pPr>
              <w:spacing w:before="0" w:after="0" w:line="252" w:lineRule="auto"/>
            </w:pPr>
            <w:r>
              <w:rPr>
                <w:rFonts w:ascii="Calibri" w:hAnsi="Calibri"/>
                <w:color w:val="1E293B"/>
                <w:sz w:val="18"/>
              </w:rPr>
              <w:t>Admin Token</w:t>
            </w:r>
          </w:p>
        </w:tc>
        <w:tc>
          <w:tcPr>
            <w:tcW w:type="dxa" w:w="4176"/>
            <w:shd w:fill="F8FAFC"/>
            <w:tcMar>
              <w:top w:w="80" w:type="dxa"/>
              <w:bottom w:w="80" w:type="dxa"/>
              <w:left w:w="120" w:type="dxa"/>
              <w:right w:w="120" w:type="dxa"/>
            </w:tcMar>
          </w:tcPr>
          <w:p>
            <w:pPr>
              <w:spacing w:before="0" w:after="0" w:line="252" w:lineRule="auto"/>
            </w:pPr>
            <w:r>
              <w:rPr>
                <w:rFonts w:ascii="Calibri" w:hAnsi="Calibri"/>
                <w:color w:val="1E293B"/>
                <w:sz w:val="18"/>
              </w:rPr>
              <w:t>Triggers manual retraining pipeline subprocess and hot-reloads prediction service.</w:t>
            </w:r>
          </w:p>
        </w:tc>
      </w:tr>
      <w:tr>
        <w:tc>
          <w:tcPr>
            <w:tcW w:type="dxa" w:w="2592"/>
            <w:tcMar>
              <w:top w:w="80" w:type="dxa"/>
              <w:bottom w:w="80" w:type="dxa"/>
              <w:left w:w="120" w:type="dxa"/>
              <w:right w:w="120" w:type="dxa"/>
            </w:tcMar>
          </w:tcPr>
          <w:p>
            <w:pPr>
              <w:spacing w:before="0" w:after="0" w:line="252" w:lineRule="auto"/>
            </w:pPr>
            <w:r>
              <w:rPr>
                <w:rFonts w:ascii="Calibri" w:hAnsi="Calibri"/>
                <w:color w:val="1E293B"/>
                <w:sz w:val="18"/>
              </w:rPr>
              <w:t>/api/admin/weather-status</w:t>
            </w:r>
          </w:p>
        </w:tc>
        <w:tc>
          <w:tcPr>
            <w:tcW w:type="dxa" w:w="1152"/>
            <w:tcMar>
              <w:top w:w="80" w:type="dxa"/>
              <w:bottom w:w="80" w:type="dxa"/>
              <w:left w:w="120" w:type="dxa"/>
              <w:right w:w="120" w:type="dxa"/>
            </w:tcMar>
          </w:tcPr>
          <w:p>
            <w:pPr>
              <w:spacing w:before="0" w:after="0" w:line="252" w:lineRule="auto"/>
            </w:pPr>
            <w:r>
              <w:rPr>
                <w:rFonts w:ascii="Calibri" w:hAnsi="Calibri"/>
                <w:color w:val="1E293B"/>
                <w:sz w:val="18"/>
              </w:rPr>
              <w:t>GET</w:t>
            </w:r>
          </w:p>
        </w:tc>
        <w:tc>
          <w:tcPr>
            <w:tcW w:type="dxa" w:w="1440"/>
            <w:tcMar>
              <w:top w:w="80" w:type="dxa"/>
              <w:bottom w:w="80" w:type="dxa"/>
              <w:left w:w="120" w:type="dxa"/>
              <w:right w:w="120" w:type="dxa"/>
            </w:tcMar>
          </w:tcPr>
          <w:p>
            <w:pPr>
              <w:spacing w:before="0" w:after="0" w:line="252" w:lineRule="auto"/>
            </w:pPr>
            <w:r>
              <w:rPr>
                <w:rFonts w:ascii="Calibri" w:hAnsi="Calibri"/>
                <w:color w:val="1E293B"/>
                <w:sz w:val="18"/>
              </w:rPr>
              <w:t>Admin Token</w:t>
            </w:r>
          </w:p>
        </w:tc>
        <w:tc>
          <w:tcPr>
            <w:tcW w:type="dxa" w:w="4176"/>
            <w:tcMar>
              <w:top w:w="80" w:type="dxa"/>
              <w:bottom w:w="80" w:type="dxa"/>
              <w:left w:w="120" w:type="dxa"/>
              <w:right w:w="120" w:type="dxa"/>
            </w:tcMar>
          </w:tcPr>
          <w:p>
            <w:pPr>
              <w:spacing w:before="0" w:after="0" w:line="252" w:lineRule="auto"/>
            </w:pPr>
            <w:r>
              <w:rPr>
                <w:rFonts w:ascii="Calibri" w:hAnsi="Calibri"/>
                <w:color w:val="1E293B"/>
                <w:sz w:val="18"/>
              </w:rPr>
              <w:t>Returns latest weather synchronization timestamp.</w:t>
            </w:r>
          </w:p>
        </w:tc>
      </w:tr>
      <w:tr>
        <w:tc>
          <w:tcPr>
            <w:tcW w:type="dxa" w:w="2592"/>
            <w:shd w:fill="F8FAFC"/>
            <w:tcMar>
              <w:top w:w="80" w:type="dxa"/>
              <w:bottom w:w="80" w:type="dxa"/>
              <w:left w:w="120" w:type="dxa"/>
              <w:right w:w="120" w:type="dxa"/>
            </w:tcMar>
          </w:tcPr>
          <w:p>
            <w:pPr>
              <w:spacing w:before="0" w:after="0" w:line="252" w:lineRule="auto"/>
            </w:pPr>
            <w:r>
              <w:rPr>
                <w:rFonts w:ascii="Calibri" w:hAnsi="Calibri"/>
                <w:color w:val="1E293B"/>
                <w:sz w:val="18"/>
              </w:rPr>
              <w:t>/api/admin/weather-refresh</w:t>
            </w:r>
          </w:p>
        </w:tc>
        <w:tc>
          <w:tcPr>
            <w:tcW w:type="dxa" w:w="1152"/>
            <w:shd w:fill="F8FAFC"/>
            <w:tcMar>
              <w:top w:w="80" w:type="dxa"/>
              <w:bottom w:w="80" w:type="dxa"/>
              <w:left w:w="120" w:type="dxa"/>
              <w:right w:w="120" w:type="dxa"/>
            </w:tcMar>
          </w:tcPr>
          <w:p>
            <w:pPr>
              <w:spacing w:before="0" w:after="0" w:line="252" w:lineRule="auto"/>
            </w:pPr>
            <w:r>
              <w:rPr>
                <w:rFonts w:ascii="Calibri" w:hAnsi="Calibri"/>
                <w:color w:val="1E293B"/>
                <w:sz w:val="18"/>
              </w:rPr>
              <w:t>POST</w:t>
            </w:r>
          </w:p>
        </w:tc>
        <w:tc>
          <w:tcPr>
            <w:tcW w:type="dxa" w:w="1440"/>
            <w:shd w:fill="F8FAFC"/>
            <w:tcMar>
              <w:top w:w="80" w:type="dxa"/>
              <w:bottom w:w="80" w:type="dxa"/>
              <w:left w:w="120" w:type="dxa"/>
              <w:right w:w="120" w:type="dxa"/>
            </w:tcMar>
          </w:tcPr>
          <w:p>
            <w:pPr>
              <w:spacing w:before="0" w:after="0" w:line="252" w:lineRule="auto"/>
            </w:pPr>
            <w:r>
              <w:rPr>
                <w:rFonts w:ascii="Calibri" w:hAnsi="Calibri"/>
                <w:color w:val="1E293B"/>
                <w:sz w:val="18"/>
              </w:rPr>
              <w:t>Admin Token</w:t>
            </w:r>
          </w:p>
        </w:tc>
        <w:tc>
          <w:tcPr>
            <w:tcW w:type="dxa" w:w="4176"/>
            <w:shd w:fill="F8FAFC"/>
            <w:tcMar>
              <w:top w:w="80" w:type="dxa"/>
              <w:bottom w:w="80" w:type="dxa"/>
              <w:left w:w="120" w:type="dxa"/>
              <w:right w:w="120" w:type="dxa"/>
            </w:tcMar>
          </w:tcPr>
          <w:p>
            <w:pPr>
              <w:spacing w:before="0" w:after="0" w:line="252" w:lineRule="auto"/>
            </w:pPr>
            <w:r>
              <w:rPr>
                <w:rFonts w:ascii="Calibri" w:hAnsi="Calibri"/>
                <w:color w:val="1E293B"/>
                <w:sz w:val="18"/>
              </w:rPr>
              <w:t>Triggers immediate weather synchronization from Open-Meteo.</w:t>
            </w:r>
          </w:p>
        </w:tc>
      </w:tr>
      <w:tr>
        <w:tc>
          <w:tcPr>
            <w:tcW w:type="dxa" w:w="2592"/>
            <w:tcMar>
              <w:top w:w="80" w:type="dxa"/>
              <w:bottom w:w="80" w:type="dxa"/>
              <w:left w:w="120" w:type="dxa"/>
              <w:right w:w="120" w:type="dxa"/>
            </w:tcMar>
          </w:tcPr>
          <w:p>
            <w:pPr>
              <w:spacing w:before="0" w:after="0" w:line="252" w:lineRule="auto"/>
            </w:pPr>
            <w:r>
              <w:rPr>
                <w:rFonts w:ascii="Calibri" w:hAnsi="Calibri"/>
                <w:color w:val="1E293B"/>
                <w:sz w:val="18"/>
              </w:rPr>
              <w:t>/api/admin/ingest-log</w:t>
            </w:r>
          </w:p>
        </w:tc>
        <w:tc>
          <w:tcPr>
            <w:tcW w:type="dxa" w:w="1152"/>
            <w:tcMar>
              <w:top w:w="80" w:type="dxa"/>
              <w:bottom w:w="80" w:type="dxa"/>
              <w:left w:w="120" w:type="dxa"/>
              <w:right w:w="120" w:type="dxa"/>
            </w:tcMar>
          </w:tcPr>
          <w:p>
            <w:pPr>
              <w:spacing w:before="0" w:after="0" w:line="252" w:lineRule="auto"/>
            </w:pPr>
            <w:r>
              <w:rPr>
                <w:rFonts w:ascii="Calibri" w:hAnsi="Calibri"/>
                <w:color w:val="1E293B"/>
                <w:sz w:val="18"/>
              </w:rPr>
              <w:t>GET</w:t>
            </w:r>
          </w:p>
        </w:tc>
        <w:tc>
          <w:tcPr>
            <w:tcW w:type="dxa" w:w="1440"/>
            <w:tcMar>
              <w:top w:w="80" w:type="dxa"/>
              <w:bottom w:w="80" w:type="dxa"/>
              <w:left w:w="120" w:type="dxa"/>
              <w:right w:w="120" w:type="dxa"/>
            </w:tcMar>
          </w:tcPr>
          <w:p>
            <w:pPr>
              <w:spacing w:before="0" w:after="0" w:line="252" w:lineRule="auto"/>
            </w:pPr>
            <w:r>
              <w:rPr>
                <w:rFonts w:ascii="Calibri" w:hAnsi="Calibri"/>
                <w:color w:val="1E293B"/>
                <w:sz w:val="18"/>
              </w:rPr>
              <w:t>Admin Token</w:t>
            </w:r>
          </w:p>
        </w:tc>
        <w:tc>
          <w:tcPr>
            <w:tcW w:type="dxa" w:w="4176"/>
            <w:tcMar>
              <w:top w:w="80" w:type="dxa"/>
              <w:bottom w:w="80" w:type="dxa"/>
              <w:left w:w="120" w:type="dxa"/>
              <w:right w:w="120" w:type="dxa"/>
            </w:tcMar>
          </w:tcPr>
          <w:p>
            <w:pPr>
              <w:spacing w:before="0" w:after="0" w:line="252" w:lineRule="auto"/>
            </w:pPr>
            <w:r>
              <w:rPr>
                <w:rFonts w:ascii="Calibri" w:hAnsi="Calibri"/>
                <w:color w:val="1E293B"/>
                <w:sz w:val="18"/>
              </w:rPr>
              <w:t>Returns audit log of all file uploads, API ingests, and manual submissions.</w:t>
            </w:r>
          </w:p>
        </w:tc>
      </w:tr>
    </w:tbl>
    <w:p>
      <w:pPr>
        <w:spacing w:before="0" w:after="120"/>
      </w:pPr>
    </w:p>
    <w:p>
      <w:pPr>
        <w:keepNext/>
        <w:spacing w:before="440" w:after="160"/>
      </w:pPr>
      <w:r>
        <w:rPr>
          <w:rFonts w:ascii="Calibri" w:hAnsi="Calibri"/>
          <w:b/>
          <w:color w:val="0F2C59"/>
          <w:sz w:val="36"/>
        </w:rPr>
        <w:t>12. Deployment, Containerization &amp; Verification</w:t>
      </w:r>
    </w:p>
    <w:p>
      <w:pPr>
        <w:keepNext/>
        <w:spacing w:before="320" w:after="120"/>
      </w:pPr>
      <w:r>
        <w:rPr>
          <w:rFonts w:ascii="Calibri" w:hAnsi="Calibri"/>
          <w:b/>
          <w:color w:val="3085C3"/>
          <w:sz w:val="28"/>
        </w:rPr>
        <w:t>12.1 Docker Multi-Container Architecture</w:t>
      </w:r>
    </w:p>
    <w:p>
      <w:pPr>
        <w:spacing w:before="40" w:after="100" w:line="276" w:lineRule="auto"/>
      </w:pPr>
      <w:r>
        <w:rPr>
          <w:rFonts w:ascii="Calibri" w:hAnsi="Calibri"/>
          <w:i w:val="0"/>
          <w:color w:val="1E293B"/>
          <w:sz w:val="21"/>
        </w:rPr>
        <w:t>The repository provides a complete 'docker-compose.yml' orchestrating four interconnected container services:</w:t>
      </w:r>
    </w:p>
    <w:p>
      <w:pPr>
        <w:pStyle w:val="ListBullet"/>
        <w:spacing w:before="20" w:after="60" w:line="276" w:lineRule="auto"/>
        <w:ind w:left="360"/>
      </w:pPr>
      <w:r>
        <w:rPr>
          <w:rFonts w:ascii="Calibri" w:hAnsi="Calibri"/>
          <w:b/>
          <w:color w:val="1E293B"/>
          <w:sz w:val="21"/>
        </w:rPr>
        <w:t xml:space="preserve">1. Database (postgres): </w:t>
      </w:r>
      <w:r>
        <w:rPr>
          <w:rFonts w:ascii="Calibri" w:hAnsi="Calibri"/>
          <w:color w:val="1E293B"/>
          <w:sz w:val="21"/>
        </w:rPr>
        <w:t>PostgreSQL 16 Alpine container with persistent named volume 'postgres_data' and internal healthchecks.</w:t>
      </w:r>
    </w:p>
    <w:p>
      <w:pPr>
        <w:pStyle w:val="ListBullet"/>
        <w:spacing w:before="20" w:after="60" w:line="276" w:lineRule="auto"/>
        <w:ind w:left="360"/>
      </w:pPr>
      <w:r>
        <w:rPr>
          <w:rFonts w:ascii="Calibri" w:hAnsi="Calibri"/>
          <w:b/>
          <w:color w:val="1E293B"/>
          <w:sz w:val="21"/>
        </w:rPr>
        <w:t xml:space="preserve">2. Migration Seeder (migrate): </w:t>
      </w:r>
      <w:r>
        <w:rPr>
          <w:rFonts w:ascii="Calibri" w:hAnsi="Calibri"/>
          <w:color w:val="1E293B"/>
          <w:sz w:val="21"/>
        </w:rPr>
        <w:t>Runs 'python -m backend.store.migrate' on startup to push schema definitions and seed initial pool records.</w:t>
      </w:r>
    </w:p>
    <w:p>
      <w:pPr>
        <w:pStyle w:val="ListBullet"/>
        <w:spacing w:before="20" w:after="60" w:line="276" w:lineRule="auto"/>
        <w:ind w:left="360"/>
      </w:pPr>
      <w:r>
        <w:rPr>
          <w:rFonts w:ascii="Calibri" w:hAnsi="Calibri"/>
          <w:b/>
          <w:color w:val="1E293B"/>
          <w:sz w:val="21"/>
        </w:rPr>
        <w:t xml:space="preserve">3. Backend API (backend): </w:t>
      </w:r>
      <w:r>
        <w:rPr>
          <w:rFonts w:ascii="Calibri" w:hAnsi="Calibri"/>
          <w:color w:val="1E293B"/>
          <w:sz w:val="21"/>
        </w:rPr>
        <w:t>FastAPI server running on port 8000 with volume mounts for live model artifacts ('models/'), data caches, and outputs.</w:t>
      </w:r>
    </w:p>
    <w:p>
      <w:pPr>
        <w:pStyle w:val="ListBullet"/>
        <w:spacing w:before="20" w:after="60" w:line="276" w:lineRule="auto"/>
        <w:ind w:left="360"/>
      </w:pPr>
      <w:r>
        <w:rPr>
          <w:rFonts w:ascii="Calibri" w:hAnsi="Calibri"/>
          <w:b/>
          <w:color w:val="1E293B"/>
          <w:sz w:val="21"/>
        </w:rPr>
        <w:t xml:space="preserve">4. Frontend Web (frontend): </w:t>
      </w:r>
      <w:r>
        <w:rPr>
          <w:rFonts w:ascii="Calibri" w:hAnsi="Calibri"/>
          <w:color w:val="1E293B"/>
          <w:sz w:val="21"/>
        </w:rPr>
        <w:t>Nginx container serving pre-compiled React 19 production assets on port 8080 with reverse-proxy routing to the API backend.</w:t>
      </w:r>
    </w:p>
    <w:p>
      <w:pPr>
        <w:keepNext/>
        <w:spacing w:before="320" w:after="120"/>
      </w:pPr>
      <w:r>
        <w:rPr>
          <w:rFonts w:ascii="Calibri" w:hAnsi="Calibri"/>
          <w:b/>
          <w:color w:val="3085C3"/>
          <w:sz w:val="28"/>
        </w:rPr>
        <w:t>12.2 Automated Verification &amp; Test Suite</w:t>
      </w:r>
    </w:p>
    <w:p>
      <w:pPr>
        <w:spacing w:before="40" w:after="100" w:line="276" w:lineRule="auto"/>
      </w:pPr>
      <w:r>
        <w:rPr>
          <w:rFonts w:ascii="Calibri" w:hAnsi="Calibri"/>
          <w:i w:val="0"/>
          <w:color w:val="1E293B"/>
          <w:sz w:val="21"/>
        </w:rPr>
        <w:t>The codebase includes a comprehensive Pytest test suite ('tests/') validating all critical subsystems:</w:t>
      </w:r>
    </w:p>
    <w:p>
      <w:pPr>
        <w:pStyle w:val="ListBullet"/>
        <w:spacing w:before="20" w:after="60" w:line="276" w:lineRule="auto"/>
        <w:ind w:left="360"/>
      </w:pPr>
      <w:r>
        <w:rPr>
          <w:rFonts w:ascii="Calibri" w:hAnsi="Calibri"/>
          <w:b/>
          <w:color w:val="1E293B"/>
          <w:sz w:val="21"/>
        </w:rPr>
        <w:t xml:space="preserve">Feature Parity Tests: </w:t>
      </w:r>
      <w:r>
        <w:rPr>
          <w:rFonts w:ascii="Calibri" w:hAnsi="Calibri"/>
          <w:color w:val="1E293B"/>
          <w:sz w:val="21"/>
        </w:rPr>
        <w:t>Validates that feature vectors generated by 'ml/features.py' match 'ml/training/steps.py' exactly with zero drift.</w:t>
      </w:r>
    </w:p>
    <w:p>
      <w:pPr>
        <w:pStyle w:val="ListBullet"/>
        <w:spacing w:before="20" w:after="60" w:line="276" w:lineRule="auto"/>
        <w:ind w:left="360"/>
      </w:pPr>
      <w:r>
        <w:rPr>
          <w:rFonts w:ascii="Calibri" w:hAnsi="Calibri"/>
          <w:b/>
          <w:color w:val="1E293B"/>
          <w:sz w:val="21"/>
        </w:rPr>
        <w:t xml:space="preserve">Inference Chaining Tests: </w:t>
      </w:r>
      <w:r>
        <w:rPr>
          <w:rFonts w:ascii="Calibri" w:hAnsi="Calibri"/>
          <w:color w:val="1E293B"/>
          <w:sz w:val="21"/>
        </w:rPr>
        <w:t>Tests 'predict_forward' against deterministic mock weather inputs to verify boundary conditions and uncertainty bands.</w:t>
      </w:r>
    </w:p>
    <w:p>
      <w:pPr>
        <w:pStyle w:val="ListBullet"/>
        <w:spacing w:before="20" w:after="60" w:line="276" w:lineRule="auto"/>
        <w:ind w:left="360"/>
      </w:pPr>
      <w:r>
        <w:rPr>
          <w:rFonts w:ascii="Calibri" w:hAnsi="Calibri"/>
          <w:b/>
          <w:color w:val="1E293B"/>
          <w:sz w:val="21"/>
        </w:rPr>
        <w:t xml:space="preserve">Promotion Gate Tests: </w:t>
      </w:r>
      <w:r>
        <w:rPr>
          <w:rFonts w:ascii="Calibri" w:hAnsi="Calibri"/>
          <w:color w:val="1E293B"/>
          <w:sz w:val="21"/>
        </w:rPr>
        <w:t>Validates that candidate models are accepted or rejected strictly according to configured MAE slacks.</w:t>
      </w:r>
    </w:p>
    <w:p>
      <w:pPr>
        <w:pStyle w:val="ListBullet"/>
        <w:spacing w:before="20" w:after="60" w:line="276" w:lineRule="auto"/>
        <w:ind w:left="360"/>
      </w:pPr>
      <w:r>
        <w:rPr>
          <w:rFonts w:ascii="Calibri" w:hAnsi="Calibri"/>
          <w:b/>
          <w:color w:val="1E293B"/>
          <w:sz w:val="21"/>
        </w:rPr>
        <w:t xml:space="preserve">API Endpoint Tests: </w:t>
      </w:r>
      <w:r>
        <w:rPr>
          <w:rFonts w:ascii="Calibri" w:hAnsi="Calibri"/>
          <w:color w:val="1E293B"/>
          <w:sz w:val="21"/>
        </w:rPr>
        <w:t>Tests FastAPI endpoints, parameter validation, error responses, and Bearer token security.</w:t>
      </w:r>
    </w:p>
    <w:p>
      <w:pPr>
        <w:pStyle w:val="ListBullet"/>
        <w:spacing w:before="20" w:after="60" w:line="276" w:lineRule="auto"/>
        <w:ind w:left="360"/>
      </w:pPr>
      <w:r>
        <w:rPr>
          <w:rFonts w:ascii="Calibri" w:hAnsi="Calibri"/>
          <w:b/>
          <w:color w:val="1E293B"/>
          <w:sz w:val="21"/>
        </w:rPr>
        <w:t xml:space="preserve">Store &amp; Database Tests: </w:t>
      </w:r>
      <w:r>
        <w:rPr>
          <w:rFonts w:ascii="Calibri" w:hAnsi="Calibri"/>
          <w:color w:val="1E293B"/>
          <w:sz w:val="21"/>
        </w:rPr>
        <w:t>Validates Prisma schema synchronization, batch upserts, and cascading delete integrity.</w:t>
      </w:r>
    </w:p>
    <w:p>
      <w:pPr>
        <w:keepNext/>
        <w:spacing w:before="440" w:after="160"/>
      </w:pPr>
      <w:r>
        <w:rPr>
          <w:rFonts w:ascii="Calibri" w:hAnsi="Calibri"/>
          <w:b/>
          <w:color w:val="0F2C59"/>
          <w:sz w:val="36"/>
        </w:rPr>
        <w:t>13. Conclusion &amp; Strategic Operational Summary</w:t>
      </w:r>
    </w:p>
    <w:p>
      <w:pPr>
        <w:spacing w:before="40" w:after="100" w:line="276" w:lineRule="auto"/>
      </w:pPr>
      <w:r>
        <w:rPr>
          <w:rFonts w:ascii="Calibri" w:hAnsi="Calibri"/>
          <w:i w:val="0"/>
          <w:color w:val="1E293B"/>
          <w:sz w:val="21"/>
        </w:rPr>
        <w:t>The Spain (Alicante) Collective-Use Swimming Pool Predictive Maintenance System (V6.0) represents a complete transition from reactive, heuristic pool management to an automated, scientifically grounded predictive operation:</w:t>
      </w:r>
    </w:p>
    <w:p>
      <w:pPr>
        <w:pStyle w:val="ListBullet"/>
        <w:spacing w:before="20" w:after="60" w:line="276" w:lineRule="auto"/>
        <w:ind w:left="360"/>
      </w:pPr>
      <w:r>
        <w:rPr>
          <w:rFonts w:ascii="Calibri" w:hAnsi="Calibri"/>
          <w:b/>
          <w:color w:val="1E293B"/>
          <w:sz w:val="21"/>
        </w:rPr>
        <w:t xml:space="preserve">1. Physical-ML Hybridization: </w:t>
      </w:r>
      <w:r>
        <w:rPr>
          <w:rFonts w:ascii="Calibri" w:hAnsi="Calibri"/>
          <w:color w:val="1E293B"/>
          <w:sz w:val="21"/>
        </w:rPr>
        <w:t>Bridges the gap between physical chemical kinetics and machine learning, eliminating non-physical predictions.</w:t>
      </w:r>
    </w:p>
    <w:p>
      <w:pPr>
        <w:pStyle w:val="ListBullet"/>
        <w:spacing w:before="20" w:after="60" w:line="276" w:lineRule="auto"/>
        <w:ind w:left="360"/>
      </w:pPr>
      <w:r>
        <w:rPr>
          <w:rFonts w:ascii="Calibri" w:hAnsi="Calibri"/>
          <w:b/>
          <w:color w:val="1E293B"/>
          <w:sz w:val="21"/>
        </w:rPr>
        <w:t xml:space="preserve">2. Post-Treatment Setpoint Re-Anchoring: </w:t>
      </w:r>
      <w:r>
        <w:rPr>
          <w:rFonts w:ascii="Calibri" w:hAnsi="Calibri"/>
          <w:color w:val="1E293B"/>
          <w:sz w:val="21"/>
        </w:rPr>
        <w:t>Aligns targets with real-world field workflows, reducing Free Chlorine MAE to 0.1972 mg/L.</w:t>
      </w:r>
    </w:p>
    <w:p>
      <w:pPr>
        <w:pStyle w:val="ListBullet"/>
        <w:spacing w:before="20" w:after="60" w:line="276" w:lineRule="auto"/>
        <w:ind w:left="360"/>
      </w:pPr>
      <w:r>
        <w:rPr>
          <w:rFonts w:ascii="Calibri" w:hAnsi="Calibri"/>
          <w:b/>
          <w:color w:val="1E293B"/>
          <w:sz w:val="21"/>
        </w:rPr>
        <w:t xml:space="preserve">3. Multi-Day Chained Rollout: </w:t>
      </w:r>
      <w:r>
        <w:rPr>
          <w:rFonts w:ascii="Calibri" w:hAnsi="Calibri"/>
          <w:color w:val="1E293B"/>
          <w:sz w:val="21"/>
        </w:rPr>
        <w:t>Eliminates inter-visit blindspots by projecting pool water quality day-by-day up to tomorrow and beyond.</w:t>
      </w:r>
    </w:p>
    <w:p>
      <w:pPr>
        <w:pStyle w:val="ListBullet"/>
        <w:spacing w:before="20" w:after="60" w:line="276" w:lineRule="auto"/>
        <w:ind w:left="360"/>
      </w:pPr>
      <w:r>
        <w:rPr>
          <w:rFonts w:ascii="Calibri" w:hAnsi="Calibri"/>
          <w:b/>
          <w:color w:val="1E293B"/>
          <w:sz w:val="21"/>
        </w:rPr>
        <w:t xml:space="preserve">4. Automated Dosing Optimization: </w:t>
      </w:r>
      <w:r>
        <w:rPr>
          <w:rFonts w:ascii="Calibri" w:hAnsi="Calibri"/>
          <w:color w:val="1E293B"/>
          <w:sz w:val="21"/>
        </w:rPr>
        <w:t>Evaluates 525 candidate pump configurations per pool to achieve maximum safety with minimal chemical spend.</w:t>
      </w:r>
    </w:p>
    <w:p>
      <w:pPr>
        <w:pStyle w:val="ListBullet"/>
        <w:spacing w:before="20" w:after="60" w:line="276" w:lineRule="auto"/>
        <w:ind w:left="360"/>
      </w:pPr>
      <w:r>
        <w:rPr>
          <w:rFonts w:ascii="Calibri" w:hAnsi="Calibri"/>
          <w:b/>
          <w:color w:val="1E293B"/>
          <w:sz w:val="21"/>
        </w:rPr>
        <w:t xml:space="preserve">5. Production Full-Stack Readiness: </w:t>
      </w:r>
      <w:r>
        <w:rPr>
          <w:rFonts w:ascii="Calibri" w:hAnsi="Calibri"/>
          <w:color w:val="1E293B"/>
          <w:sz w:val="21"/>
        </w:rPr>
        <w:t>Equips dispatchers and technicians with intuitive Today/Tomorrow alerts, historical charts, and mobile logging.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