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Default="0076543C" w:rsidP="001702BE">
      <w:pPr>
        <w:spacing w:line="480" w:lineRule="auto"/>
      </w:pPr>
      <w:r>
        <w:t xml:space="preserve">Running title: Early Detection of Malignant and Pre-malignant using DNA Image </w:t>
      </w:r>
      <w:proofErr w:type="spellStart"/>
      <w:r>
        <w:t>Cytometry</w:t>
      </w:r>
      <w:proofErr w:type="spellEnd"/>
    </w:p>
    <w:p w14:paraId="3A7E5827" w14:textId="77777777" w:rsidR="0076543C" w:rsidRDefault="0076543C" w:rsidP="001702BE">
      <w:pPr>
        <w:spacing w:line="480" w:lineRule="auto"/>
      </w:pPr>
    </w:p>
    <w:p w14:paraId="1C08AF41" w14:textId="77777777" w:rsidR="0076543C" w:rsidRDefault="0076543C" w:rsidP="001702BE">
      <w:pPr>
        <w:spacing w:line="480" w:lineRule="auto"/>
      </w:pPr>
      <w:r>
        <w:t>Abstract</w:t>
      </w:r>
    </w:p>
    <w:p w14:paraId="14381759" w14:textId="77777777" w:rsidR="0076543C" w:rsidRDefault="0076543C" w:rsidP="001702BE">
      <w:pPr>
        <w:spacing w:line="480" w:lineRule="auto"/>
      </w:pPr>
      <w:r>
        <w:t>Introduction</w:t>
      </w:r>
    </w:p>
    <w:p w14:paraId="46E476CA" w14:textId="77777777" w:rsidR="0076543C" w:rsidRDefault="0076543C" w:rsidP="001702BE">
      <w:pPr>
        <w:spacing w:line="480" w:lineRule="auto"/>
      </w:pPr>
    </w:p>
    <w:p w14:paraId="45AE0BD5" w14:textId="77777777" w:rsidR="00F61313" w:rsidRDefault="00AE0F83" w:rsidP="001702BE">
      <w:pPr>
        <w:spacing w:line="480" w:lineRule="auto"/>
        <w:rPr>
          <w:b/>
        </w:rPr>
      </w:pPr>
      <w:r w:rsidRPr="00EC4EA7">
        <w:rPr>
          <w:b/>
        </w:rPr>
        <w:t>Method and materials</w:t>
      </w:r>
    </w:p>
    <w:p w14:paraId="4108CC29" w14:textId="77777777" w:rsidR="00EC4EA7" w:rsidRDefault="00EC4EA7" w:rsidP="001702BE">
      <w:pPr>
        <w:spacing w:line="480" w:lineRule="auto"/>
      </w:pPr>
      <w:r>
        <w:t>Oral brushing biopsy method</w:t>
      </w:r>
    </w:p>
    <w:p w14:paraId="098D1C50" w14:textId="77777777" w:rsidR="00EC4EA7" w:rsidRDefault="00EC4EA7" w:rsidP="001702BE">
      <w:pPr>
        <w:spacing w:line="480" w:lineRule="auto"/>
      </w:pPr>
      <w:r>
        <w:t xml:space="preserve">DNA staining and </w:t>
      </w:r>
      <w:proofErr w:type="gramStart"/>
      <w:r>
        <w:t>imaging  method</w:t>
      </w:r>
      <w:proofErr w:type="gramEnd"/>
    </w:p>
    <w:p w14:paraId="0583CD42" w14:textId="77777777" w:rsidR="00EC4EA7" w:rsidRDefault="00EC4EA7" w:rsidP="001702BE">
      <w:pPr>
        <w:spacing w:line="480" w:lineRule="auto"/>
      </w:pPr>
    </w:p>
    <w:p w14:paraId="2C660630" w14:textId="77777777" w:rsidR="00EC4EA7" w:rsidRPr="00325088" w:rsidRDefault="00325088" w:rsidP="001702BE">
      <w:pPr>
        <w:spacing w:line="480" w:lineRule="auto"/>
        <w:rPr>
          <w:b/>
        </w:rPr>
      </w:pPr>
      <w:r w:rsidRPr="00325088">
        <w:rPr>
          <w:b/>
        </w:rPr>
        <w:t xml:space="preserve">Expert-guided </w:t>
      </w:r>
      <w:r w:rsidR="00EC4EA7" w:rsidRPr="00325088">
        <w:rPr>
          <w:b/>
        </w:rPr>
        <w:t xml:space="preserve">data </w:t>
      </w:r>
      <w:r w:rsidRPr="00325088">
        <w:rPr>
          <w:b/>
        </w:rPr>
        <w:t xml:space="preserve">cleaning and reconstruction </w:t>
      </w:r>
    </w:p>
    <w:p w14:paraId="61083587" w14:textId="77777777" w:rsidR="00325088" w:rsidRDefault="00325088" w:rsidP="001702BE">
      <w:pPr>
        <w:spacing w:line="480" w:lineRule="auto"/>
      </w:pPr>
      <w:r>
        <w:t>For each DNA imaging sample, all available DNA index (D.I.) values were exported from the “software name”</w:t>
      </w:r>
      <w:r w:rsidR="004F02D9">
        <w:t xml:space="preserve"> [reference here]</w:t>
      </w:r>
      <w:r>
        <w:t>. With the unknown distribution of the random variable(s), kernel density smoothing function was applied to the mixtures of three potential cell populations (no</w:t>
      </w:r>
      <w:r w:rsidR="004F02D9">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t>mitotics</w:t>
      </w:r>
      <w:proofErr w:type="spellEnd"/>
      <w:r w:rsidR="004F02D9">
        <w:t xml:space="preserve"> cell population was “2c”; and the cell population with abnormal dividing (aneuploidy population) was above “2.2c” [reference here]. </w:t>
      </w:r>
    </w:p>
    <w:p w14:paraId="12FA70EF" w14:textId="00E2D8C9" w:rsidR="004F02D9" w:rsidRDefault="004F02D9" w:rsidP="001702BE">
      <w:pPr>
        <w:spacing w:line="480" w:lineRule="auto"/>
      </w:pPr>
      <w:r>
        <w:lastRenderedPageBreak/>
        <w:t>From here a sequential</w:t>
      </w:r>
      <w:r w:rsidR="001D006D">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t xml:space="preserve">background </w:t>
      </w:r>
      <w:r w:rsidR="001D006D">
        <w:t xml:space="preserve">normal distribution </w:t>
      </w:r>
      <w:r w:rsidR="00402540">
        <w:t xml:space="preserve">as our </w:t>
      </w:r>
      <w:r w:rsidR="001D006D">
        <w:t xml:space="preserve">assumption with </w:t>
      </w:r>
      <w:r w:rsidR="001702BE">
        <w:t>the estimated mean and standard deviation</w:t>
      </w:r>
      <w:r w:rsidR="00402540">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Default="00402540" w:rsidP="001702BE">
      <w:pPr>
        <w:spacing w:line="480" w:lineRule="auto"/>
      </w:pPr>
      <w: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t>0.5% for the abnormal population (3) If all three populations were determined, the actual ratio between the two families was used and together consisted 90% toward the total leaving unchanged 10% for the abnormal population</w:t>
      </w:r>
      <w:r w:rsidR="00386248">
        <w:t xml:space="preserve">. </w:t>
      </w:r>
    </w:p>
    <w:p w14:paraId="009087F5" w14:textId="39A864EB" w:rsidR="00386248" w:rsidRDefault="00386248" w:rsidP="001702BE">
      <w:pPr>
        <w:spacing w:line="480" w:lineRule="auto"/>
      </w:pPr>
      <w:r>
        <w:t xml:space="preserve">The last step is to convert the reconstructed D.I. values to sixteen measurements of hidden variables. </w:t>
      </w:r>
      <w:r w:rsidR="00567B10">
        <w:t xml:space="preserve">Now, with the known mixture ratios of population(s) and </w:t>
      </w:r>
      <w:r w:rsidR="00B46506">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t>bins,</w:t>
      </w:r>
      <w:proofErr w:type="gramEnd"/>
      <w:r w:rsidR="00B46506">
        <w:t xml:space="preserve"> the density for each bin was stored as the “measurement” for each hidden variable. </w:t>
      </w:r>
    </w:p>
    <w:p w14:paraId="2CCB4217" w14:textId="58105003" w:rsidR="00325088" w:rsidRDefault="00325088" w:rsidP="001702BE">
      <w:pPr>
        <w:spacing w:line="480" w:lineRule="auto"/>
        <w:rPr>
          <w:b/>
        </w:rPr>
      </w:pPr>
      <w:r w:rsidRPr="00567B10">
        <w:rPr>
          <w:b/>
        </w:rPr>
        <w:lastRenderedPageBreak/>
        <w:t>Building the statistical prediction model</w:t>
      </w:r>
      <w:r w:rsidR="00567B10" w:rsidRPr="00567B10">
        <w:rPr>
          <w:b/>
        </w:rPr>
        <w:t xml:space="preserve"> and model performance evaluation</w:t>
      </w:r>
    </w:p>
    <w:p w14:paraId="7519D2C2" w14:textId="77777777" w:rsidR="00D54620" w:rsidRPr="0065137B" w:rsidRDefault="00D54620" w:rsidP="00D54620">
      <w:pPr>
        <w:jc w:val="both"/>
        <w:rPr>
          <w:rFonts w:ascii="Arial" w:hAnsi="Arial" w:cs="Arial"/>
          <w:b/>
        </w:rPr>
      </w:pPr>
      <w:bookmarkStart w:id="0" w:name="_GoBack"/>
      <w:bookmarkEnd w:id="0"/>
      <w:r w:rsidRPr="0065137B">
        <w:rPr>
          <w:rFonts w:ascii="Arial" w:hAnsi="Arial" w:cs="Arial"/>
          <w:b/>
        </w:rPr>
        <w:t>Prediction performance metrics</w:t>
      </w:r>
    </w:p>
    <w:p w14:paraId="7AB74E4A" w14:textId="77777777" w:rsidR="00D54620" w:rsidRPr="0065137B" w:rsidRDefault="00D54620" w:rsidP="00D54620">
      <w:pPr>
        <w:jc w:val="both"/>
        <w:rPr>
          <w:rFonts w:ascii="Arial" w:hAnsi="Arial" w:cs="Arial"/>
        </w:rPr>
      </w:pPr>
    </w:p>
    <w:p w14:paraId="654369C9" w14:textId="77777777" w:rsidR="00D54620" w:rsidRPr="0065137B" w:rsidRDefault="00D54620" w:rsidP="00D54620">
      <w:pPr>
        <w:jc w:val="both"/>
        <w:rPr>
          <w:rFonts w:ascii="Arial" w:hAnsi="Arial" w:cs="Arial"/>
        </w:rPr>
      </w:pPr>
      <w:r w:rsidRPr="0065137B">
        <w:rPr>
          <w:rFonts w:ascii="Arial" w:hAnsi="Arial" w:cs="Arial"/>
        </w:rPr>
        <w:t xml:space="preserve">For a particular classifier, the confusion matrix can be summarized in various standard performance metrics to compare MAQC-II model prediction performance. </w:t>
      </w:r>
    </w:p>
    <w:p w14:paraId="663E3C6D" w14:textId="77777777" w:rsidR="00D54620" w:rsidRPr="0065137B" w:rsidRDefault="00D54620" w:rsidP="00D54620">
      <w:pPr>
        <w:jc w:val="both"/>
        <w:rPr>
          <w:rFonts w:ascii="Arial" w:hAnsi="Arial" w:cs="Arial"/>
        </w:rPr>
      </w:pPr>
    </w:p>
    <w:p w14:paraId="7CA11DD3" w14:textId="77777777" w:rsidR="00D54620" w:rsidRPr="0065137B" w:rsidRDefault="00D54620" w:rsidP="00D54620">
      <w:pPr>
        <w:spacing w:after="120"/>
        <w:jc w:val="center"/>
        <w:outlineLvl w:val="0"/>
        <w:rPr>
          <w:rFonts w:ascii="Arial" w:hAnsi="Arial" w:cs="Arial"/>
        </w:rPr>
      </w:pPr>
      <w:r w:rsidRPr="0065137B">
        <w:rPr>
          <w:rFonts w:ascii="Arial" w:hAnsi="Arial" w:cs="Arial"/>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65137B" w14:paraId="1B943566" w14:textId="77777777" w:rsidTr="00786B0D">
        <w:trPr>
          <w:jc w:val="center"/>
        </w:trPr>
        <w:tc>
          <w:tcPr>
            <w:tcW w:w="2760" w:type="dxa"/>
            <w:shd w:val="clear" w:color="000000" w:fill="FFFFFF"/>
          </w:tcPr>
          <w:p w14:paraId="4C022E00" w14:textId="77777777" w:rsidR="00D54620" w:rsidRPr="0065137B" w:rsidRDefault="00D54620" w:rsidP="00786B0D">
            <w:pPr>
              <w:jc w:val="both"/>
              <w:rPr>
                <w:rFonts w:ascii="Arial" w:hAnsi="Arial" w:cs="Arial"/>
              </w:rPr>
            </w:pPr>
            <w:r w:rsidRPr="0065137B">
              <w:rPr>
                <w:rFonts w:ascii="Arial" w:hAnsi="Arial" w:cs="Arial"/>
              </w:rPr>
              <w:t>Total Samples (</w:t>
            </w:r>
            <w:r w:rsidRPr="0065137B">
              <w:rPr>
                <w:rFonts w:ascii="Arial" w:hAnsi="Arial" w:cs="Arial"/>
                <w:i/>
              </w:rPr>
              <w:t>TS</w:t>
            </w:r>
            <w:r w:rsidRPr="0065137B">
              <w:rPr>
                <w:rFonts w:ascii="Arial" w:hAnsi="Arial" w:cs="Arial"/>
              </w:rPr>
              <w:t>)</w:t>
            </w:r>
          </w:p>
        </w:tc>
        <w:tc>
          <w:tcPr>
            <w:tcW w:w="2340" w:type="dxa"/>
          </w:tcPr>
          <w:p w14:paraId="0AAB83B4" w14:textId="77777777" w:rsidR="00D54620" w:rsidRPr="0065137B" w:rsidRDefault="00D54620" w:rsidP="00786B0D">
            <w:pPr>
              <w:jc w:val="both"/>
              <w:rPr>
                <w:rFonts w:ascii="Arial" w:hAnsi="Arial" w:cs="Arial"/>
              </w:rPr>
            </w:pPr>
            <w:r w:rsidRPr="0065137B">
              <w:rPr>
                <w:rFonts w:ascii="Arial" w:hAnsi="Arial" w:cs="Arial"/>
              </w:rPr>
              <w:t>Actual Positives (</w:t>
            </w:r>
            <w:r w:rsidRPr="0065137B">
              <w:rPr>
                <w:rFonts w:ascii="Arial" w:hAnsi="Arial" w:cs="Arial"/>
                <w:i/>
              </w:rPr>
              <w:t>AP</w:t>
            </w:r>
            <w:r w:rsidRPr="0065137B">
              <w:rPr>
                <w:rFonts w:ascii="Arial" w:hAnsi="Arial" w:cs="Arial"/>
              </w:rPr>
              <w:t>)</w:t>
            </w:r>
          </w:p>
        </w:tc>
        <w:tc>
          <w:tcPr>
            <w:tcW w:w="2700" w:type="dxa"/>
          </w:tcPr>
          <w:p w14:paraId="70E851BA" w14:textId="77777777" w:rsidR="00D54620" w:rsidRPr="0065137B" w:rsidRDefault="00D54620" w:rsidP="00786B0D">
            <w:pPr>
              <w:jc w:val="both"/>
              <w:rPr>
                <w:rFonts w:ascii="Arial" w:hAnsi="Arial" w:cs="Arial"/>
              </w:rPr>
            </w:pPr>
            <w:r w:rsidRPr="0065137B">
              <w:rPr>
                <w:rFonts w:ascii="Arial" w:hAnsi="Arial" w:cs="Arial"/>
              </w:rPr>
              <w:t>Actual Negatives (</w:t>
            </w:r>
            <w:r w:rsidRPr="0065137B">
              <w:rPr>
                <w:rFonts w:ascii="Arial" w:hAnsi="Arial" w:cs="Arial"/>
                <w:i/>
              </w:rPr>
              <w:t>AN</w:t>
            </w:r>
            <w:r w:rsidRPr="0065137B">
              <w:rPr>
                <w:rFonts w:ascii="Arial" w:hAnsi="Arial" w:cs="Arial"/>
              </w:rPr>
              <w:t>)</w:t>
            </w:r>
          </w:p>
        </w:tc>
      </w:tr>
      <w:tr w:rsidR="00D54620" w:rsidRPr="0065137B" w14:paraId="4A507B6C" w14:textId="77777777" w:rsidTr="00786B0D">
        <w:trPr>
          <w:jc w:val="center"/>
        </w:trPr>
        <w:tc>
          <w:tcPr>
            <w:tcW w:w="2760" w:type="dxa"/>
            <w:shd w:val="clear" w:color="000000" w:fill="FFFFFF"/>
          </w:tcPr>
          <w:p w14:paraId="1FD14207" w14:textId="77777777" w:rsidR="00D54620" w:rsidRPr="0065137B" w:rsidRDefault="00D54620" w:rsidP="00786B0D">
            <w:pPr>
              <w:jc w:val="both"/>
              <w:rPr>
                <w:rFonts w:ascii="Arial" w:hAnsi="Arial" w:cs="Arial"/>
              </w:rPr>
            </w:pPr>
            <w:r w:rsidRPr="0065137B">
              <w:rPr>
                <w:rFonts w:ascii="Arial" w:hAnsi="Arial" w:cs="Arial"/>
              </w:rPr>
              <w:t>Predicted Positives (</w:t>
            </w:r>
            <w:r w:rsidRPr="0065137B">
              <w:rPr>
                <w:rFonts w:ascii="Arial" w:hAnsi="Arial" w:cs="Arial"/>
                <w:i/>
              </w:rPr>
              <w:t>PP</w:t>
            </w:r>
            <w:r w:rsidRPr="0065137B">
              <w:rPr>
                <w:rFonts w:ascii="Arial" w:hAnsi="Arial" w:cs="Arial"/>
              </w:rPr>
              <w:t>)</w:t>
            </w:r>
          </w:p>
        </w:tc>
        <w:tc>
          <w:tcPr>
            <w:tcW w:w="2340" w:type="dxa"/>
          </w:tcPr>
          <w:p w14:paraId="39DED452" w14:textId="77777777" w:rsidR="00D54620" w:rsidRPr="0065137B" w:rsidRDefault="00D54620" w:rsidP="00786B0D">
            <w:pPr>
              <w:jc w:val="both"/>
              <w:rPr>
                <w:rFonts w:ascii="Arial" w:hAnsi="Arial" w:cs="Arial"/>
              </w:rPr>
            </w:pPr>
            <w:r w:rsidRPr="0065137B">
              <w:rPr>
                <w:rFonts w:ascii="Arial" w:hAnsi="Arial" w:cs="Arial"/>
              </w:rPr>
              <w:t>True Positives (</w:t>
            </w:r>
            <w:r w:rsidRPr="0065137B">
              <w:rPr>
                <w:rFonts w:ascii="Arial" w:hAnsi="Arial" w:cs="Arial"/>
                <w:i/>
              </w:rPr>
              <w:t>TP</w:t>
            </w:r>
            <w:r w:rsidRPr="0065137B">
              <w:rPr>
                <w:rFonts w:ascii="Arial" w:hAnsi="Arial" w:cs="Arial"/>
              </w:rPr>
              <w:t>)</w:t>
            </w:r>
          </w:p>
        </w:tc>
        <w:tc>
          <w:tcPr>
            <w:tcW w:w="2700" w:type="dxa"/>
          </w:tcPr>
          <w:p w14:paraId="34841619" w14:textId="77777777" w:rsidR="00D54620" w:rsidRPr="0065137B" w:rsidRDefault="00D54620" w:rsidP="00786B0D">
            <w:pPr>
              <w:jc w:val="both"/>
              <w:rPr>
                <w:rFonts w:ascii="Arial" w:hAnsi="Arial" w:cs="Arial"/>
              </w:rPr>
            </w:pPr>
            <w:r w:rsidRPr="0065137B">
              <w:rPr>
                <w:rFonts w:ascii="Arial" w:hAnsi="Arial" w:cs="Arial"/>
              </w:rPr>
              <w:t>False Positives (</w:t>
            </w:r>
            <w:r w:rsidRPr="0065137B">
              <w:rPr>
                <w:rFonts w:ascii="Arial" w:hAnsi="Arial" w:cs="Arial"/>
                <w:i/>
              </w:rPr>
              <w:t>FP</w:t>
            </w:r>
            <w:r w:rsidRPr="0065137B">
              <w:rPr>
                <w:rFonts w:ascii="Arial" w:hAnsi="Arial" w:cs="Arial"/>
              </w:rPr>
              <w:t>)</w:t>
            </w:r>
          </w:p>
        </w:tc>
      </w:tr>
      <w:tr w:rsidR="00D54620" w:rsidRPr="0065137B" w14:paraId="2BC3B8F3" w14:textId="77777777" w:rsidTr="00786B0D">
        <w:trPr>
          <w:jc w:val="center"/>
        </w:trPr>
        <w:tc>
          <w:tcPr>
            <w:tcW w:w="2760" w:type="dxa"/>
            <w:shd w:val="clear" w:color="000000" w:fill="FFFFFF"/>
          </w:tcPr>
          <w:p w14:paraId="0C9BBCDF" w14:textId="77777777" w:rsidR="00D54620" w:rsidRPr="0065137B" w:rsidRDefault="00D54620" w:rsidP="00786B0D">
            <w:pPr>
              <w:jc w:val="both"/>
              <w:rPr>
                <w:rFonts w:ascii="Arial" w:hAnsi="Arial" w:cs="Arial"/>
              </w:rPr>
            </w:pPr>
            <w:r w:rsidRPr="0065137B">
              <w:rPr>
                <w:rFonts w:ascii="Arial" w:hAnsi="Arial" w:cs="Arial"/>
              </w:rPr>
              <w:t>Predicted Negatives (</w:t>
            </w:r>
            <w:r w:rsidRPr="0065137B">
              <w:rPr>
                <w:rFonts w:ascii="Arial" w:hAnsi="Arial" w:cs="Arial"/>
                <w:i/>
              </w:rPr>
              <w:t>PN</w:t>
            </w:r>
            <w:r w:rsidRPr="0065137B">
              <w:rPr>
                <w:rFonts w:ascii="Arial" w:hAnsi="Arial" w:cs="Arial"/>
              </w:rPr>
              <w:t>)</w:t>
            </w:r>
          </w:p>
        </w:tc>
        <w:tc>
          <w:tcPr>
            <w:tcW w:w="2340" w:type="dxa"/>
          </w:tcPr>
          <w:p w14:paraId="4DA97A4C" w14:textId="77777777" w:rsidR="00D54620" w:rsidRPr="0065137B" w:rsidRDefault="00D54620" w:rsidP="00786B0D">
            <w:pPr>
              <w:jc w:val="both"/>
              <w:rPr>
                <w:rFonts w:ascii="Arial" w:hAnsi="Arial" w:cs="Arial"/>
              </w:rPr>
            </w:pPr>
            <w:r w:rsidRPr="0065137B">
              <w:rPr>
                <w:rFonts w:ascii="Arial" w:hAnsi="Arial" w:cs="Arial"/>
              </w:rPr>
              <w:t>False Negatives (</w:t>
            </w:r>
            <w:r w:rsidRPr="0065137B">
              <w:rPr>
                <w:rFonts w:ascii="Arial" w:hAnsi="Arial" w:cs="Arial"/>
                <w:i/>
              </w:rPr>
              <w:t>FN</w:t>
            </w:r>
            <w:r w:rsidRPr="0065137B">
              <w:rPr>
                <w:rFonts w:ascii="Arial" w:hAnsi="Arial" w:cs="Arial"/>
              </w:rPr>
              <w:t>)</w:t>
            </w:r>
          </w:p>
        </w:tc>
        <w:tc>
          <w:tcPr>
            <w:tcW w:w="2700" w:type="dxa"/>
          </w:tcPr>
          <w:p w14:paraId="79C593CB" w14:textId="77777777" w:rsidR="00D54620" w:rsidRPr="0065137B" w:rsidRDefault="00D54620" w:rsidP="00786B0D">
            <w:pPr>
              <w:jc w:val="both"/>
              <w:rPr>
                <w:rFonts w:ascii="Arial" w:hAnsi="Arial" w:cs="Arial"/>
              </w:rPr>
            </w:pPr>
            <w:r w:rsidRPr="0065137B">
              <w:rPr>
                <w:rFonts w:ascii="Arial" w:hAnsi="Arial" w:cs="Arial"/>
              </w:rPr>
              <w:t>True Negatives (</w:t>
            </w:r>
            <w:r w:rsidRPr="0065137B">
              <w:rPr>
                <w:rFonts w:ascii="Arial" w:hAnsi="Arial" w:cs="Arial"/>
                <w:i/>
              </w:rPr>
              <w:t>TN</w:t>
            </w:r>
            <w:r w:rsidRPr="0065137B">
              <w:rPr>
                <w:rFonts w:ascii="Arial" w:hAnsi="Arial" w:cs="Arial"/>
              </w:rPr>
              <w:t>)</w:t>
            </w:r>
          </w:p>
        </w:tc>
      </w:tr>
    </w:tbl>
    <w:p w14:paraId="0E9B12D4" w14:textId="77777777" w:rsidR="00D54620" w:rsidRPr="0065137B" w:rsidRDefault="00D54620" w:rsidP="00D54620">
      <w:pPr>
        <w:jc w:val="both"/>
        <w:rPr>
          <w:rFonts w:ascii="Arial" w:hAnsi="Arial" w:cs="Arial"/>
        </w:rPr>
      </w:pPr>
    </w:p>
    <w:p w14:paraId="6E2E0C9B" w14:textId="77777777" w:rsidR="00D54620" w:rsidRPr="0065137B" w:rsidRDefault="00D54620" w:rsidP="00D54620">
      <w:pPr>
        <w:jc w:val="both"/>
        <w:rPr>
          <w:rFonts w:ascii="Arial" w:hAnsi="Arial" w:cs="Arial"/>
        </w:rPr>
      </w:pPr>
      <w:r>
        <w:rPr>
          <w:rFonts w:ascii="Arial" w:hAnsi="Arial" w:cs="Arial"/>
          <w:bCs/>
        </w:rPr>
        <w:t>S</w:t>
      </w:r>
      <w:r w:rsidRPr="0065137B">
        <w:rPr>
          <w:rFonts w:ascii="Arial" w:hAnsi="Arial" w:cs="Arial"/>
          <w:bCs/>
        </w:rPr>
        <w:t>ensitivity</w:t>
      </w:r>
      <w:r w:rsidRPr="0065137B">
        <w:rPr>
          <w:rFonts w:ascii="Arial" w:hAnsi="Arial" w:cs="Arial"/>
        </w:rPr>
        <w:t xml:space="preserve"> is a measure of actual positives correctly identified as such and the </w:t>
      </w:r>
      <w:r w:rsidRPr="0065137B">
        <w:rPr>
          <w:rFonts w:ascii="Arial" w:hAnsi="Arial" w:cs="Arial"/>
          <w:bCs/>
        </w:rPr>
        <w:t>specificity</w:t>
      </w:r>
      <w:r w:rsidRPr="0065137B">
        <w:rPr>
          <w:rFonts w:ascii="Arial" w:hAnsi="Arial" w:cs="Arial"/>
        </w:rPr>
        <w:t xml:space="preserve"> measures the proportion of negatives correctly identified:</w:t>
      </w:r>
    </w:p>
    <w:p w14:paraId="77A67BFC" w14:textId="77777777" w:rsidR="00D54620" w:rsidRPr="0065137B" w:rsidRDefault="00D54620" w:rsidP="00D54620">
      <w:pPr>
        <w:jc w:val="both"/>
        <w:rPr>
          <w:rFonts w:ascii="Arial" w:hAnsi="Arial" w:cs="Arial"/>
        </w:rPr>
      </w:pPr>
    </w:p>
    <w:p w14:paraId="48EF5F1E" w14:textId="77777777" w:rsidR="00D54620" w:rsidRPr="0065137B" w:rsidRDefault="00D54620" w:rsidP="00D54620">
      <w:pPr>
        <w:ind w:firstLine="720"/>
        <w:jc w:val="both"/>
        <w:rPr>
          <w:rFonts w:ascii="Arial" w:hAnsi="Arial" w:cs="Arial"/>
          <w:i/>
        </w:rPr>
      </w:pPr>
      <w:r w:rsidRPr="0065137B">
        <w:rPr>
          <w:rFonts w:ascii="Arial" w:hAnsi="Arial" w:cs="Arial"/>
          <w:i/>
        </w:rPr>
        <w:tab/>
        <w:t>Sensitivity = TP / AP = TP / (TP + FN)</w:t>
      </w:r>
    </w:p>
    <w:p w14:paraId="2220E362" w14:textId="77777777" w:rsidR="00D54620" w:rsidRPr="0065137B" w:rsidRDefault="00D54620" w:rsidP="00D54620">
      <w:pPr>
        <w:ind w:firstLine="720"/>
        <w:jc w:val="both"/>
        <w:rPr>
          <w:rFonts w:ascii="Arial" w:hAnsi="Arial" w:cs="Arial"/>
          <w:i/>
        </w:rPr>
      </w:pPr>
    </w:p>
    <w:p w14:paraId="62BFE624" w14:textId="77777777" w:rsidR="00D54620" w:rsidRPr="0065137B" w:rsidRDefault="00D54620" w:rsidP="00D54620">
      <w:pPr>
        <w:ind w:firstLine="720"/>
        <w:jc w:val="both"/>
        <w:rPr>
          <w:rFonts w:ascii="Arial" w:hAnsi="Arial" w:cs="Arial"/>
          <w:i/>
        </w:rPr>
      </w:pPr>
      <w:r w:rsidRPr="0065137B">
        <w:rPr>
          <w:rFonts w:ascii="Arial" w:hAnsi="Arial" w:cs="Arial"/>
          <w:i/>
        </w:rPr>
        <w:tab/>
        <w:t>Specificity = TN / AN = TN / (TN + FP)</w:t>
      </w:r>
    </w:p>
    <w:p w14:paraId="76ECCE1D" w14:textId="77777777" w:rsidR="00D54620" w:rsidRPr="0065137B" w:rsidRDefault="00D54620" w:rsidP="00D54620">
      <w:pPr>
        <w:jc w:val="both"/>
        <w:rPr>
          <w:rFonts w:ascii="Arial" w:hAnsi="Arial" w:cs="Arial"/>
        </w:rPr>
      </w:pPr>
    </w:p>
    <w:p w14:paraId="75AC22F9" w14:textId="77777777" w:rsidR="00D54620" w:rsidRPr="0065137B" w:rsidRDefault="00D54620" w:rsidP="00D54620">
      <w:pPr>
        <w:jc w:val="both"/>
        <w:rPr>
          <w:rFonts w:ascii="Arial" w:hAnsi="Arial" w:cs="Arial"/>
        </w:rPr>
      </w:pPr>
      <w:r w:rsidRPr="0065137B">
        <w:rPr>
          <w:rFonts w:ascii="Arial" w:hAnsi="Arial" w:cs="Arial"/>
        </w:rPr>
        <w:t>There is a trade-off between sensitivity and specificity, making models difficult to compare on the basis of these performance metrics.</w:t>
      </w:r>
      <w:r>
        <w:rPr>
          <w:rFonts w:ascii="Arial" w:hAnsi="Arial" w:cs="Arial"/>
        </w:rPr>
        <w:t xml:space="preserve"> </w:t>
      </w:r>
      <w:r w:rsidRPr="0065137B">
        <w:rPr>
          <w:rFonts w:ascii="Arial" w:hAnsi="Arial" w:cs="Arial"/>
        </w:rPr>
        <w:t xml:space="preserve">In contrast, such measures as accuracy, the proportion of correct predictions, the ROC curve, and the </w:t>
      </w:r>
      <w:r w:rsidRPr="0065137B">
        <w:rPr>
          <w:rFonts w:ascii="Arial" w:eastAsia="MS Mincho" w:hAnsi="Arial" w:cs="Arial"/>
          <w:bCs/>
          <w:lang w:eastAsia="ja-JP"/>
        </w:rPr>
        <w:t>Matthews Correlation Coefficient</w:t>
      </w:r>
      <w:r w:rsidRPr="0065137B">
        <w:rPr>
          <w:rFonts w:ascii="Arial" w:eastAsia="MS Mincho" w:hAnsi="Arial" w:cs="Arial"/>
          <w:lang w:eastAsia="ja-JP"/>
        </w:rPr>
        <w:t xml:space="preserve"> (MCC)</w:t>
      </w:r>
      <w:r>
        <w:rPr>
          <w:rFonts w:ascii="Arial" w:eastAsia="MS Mincho" w:hAnsi="Arial" w:cs="Arial"/>
          <w:lang w:eastAsia="ja-JP"/>
        </w:rPr>
        <w:fldChar w:fldCharType="begin"/>
      </w:r>
      <w:r>
        <w:rPr>
          <w:rFonts w:ascii="Arial" w:eastAsia="MS Mincho" w:hAnsi="Arial" w:cs="Arial"/>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Pr>
          <w:rFonts w:ascii="Arial" w:eastAsia="MS Mincho" w:hAnsi="Arial" w:cs="Arial"/>
          <w:lang w:eastAsia="ja-JP"/>
        </w:rPr>
        <w:fldChar w:fldCharType="separate"/>
      </w:r>
      <w:r w:rsidRPr="00C53B1A">
        <w:rPr>
          <w:rFonts w:ascii="Arial" w:eastAsia="MS Mincho" w:hAnsi="Arial" w:cs="Arial"/>
          <w:vertAlign w:val="superscript"/>
          <w:lang w:eastAsia="ja-JP"/>
        </w:rPr>
        <w:t>74, 75</w:t>
      </w:r>
      <w:r>
        <w:rPr>
          <w:rFonts w:ascii="Arial" w:eastAsia="MS Mincho" w:hAnsi="Arial" w:cs="Arial"/>
          <w:lang w:eastAsia="ja-JP"/>
        </w:rPr>
        <w:fldChar w:fldCharType="end"/>
      </w:r>
      <w:r>
        <w:rPr>
          <w:rFonts w:ascii="Arial" w:eastAsia="MS Mincho" w:hAnsi="Arial" w:cs="Arial"/>
          <w:lang w:eastAsia="ja-JP"/>
        </w:rPr>
        <w:t>,</w:t>
      </w:r>
      <w:r w:rsidRPr="0065137B">
        <w:rPr>
          <w:rFonts w:ascii="Arial" w:eastAsia="MS Mincho" w:hAnsi="Arial" w:cs="Arial"/>
          <w:lang w:eastAsia="ja-JP"/>
        </w:rPr>
        <w:t xml:space="preserve"> enable a single parameter comparison of performance of binary classification models</w:t>
      </w:r>
      <w:r w:rsidRPr="0065137B">
        <w:rPr>
          <w:rFonts w:ascii="Arial" w:hAnsi="Arial" w:cs="Arial"/>
        </w:rPr>
        <w:t xml:space="preserve">. The MCC is </w:t>
      </w:r>
      <w:r>
        <w:rPr>
          <w:rFonts w:ascii="Arial" w:hAnsi="Arial" w:cs="Arial"/>
        </w:rPr>
        <w:t>defined as</w:t>
      </w:r>
      <w:r w:rsidRPr="0065137B">
        <w:rPr>
          <w:rFonts w:ascii="Arial" w:hAnsi="Arial" w:cs="Arial"/>
        </w:rPr>
        <w:t>:</w:t>
      </w:r>
    </w:p>
    <w:p w14:paraId="6843C543" w14:textId="77777777" w:rsidR="002970C4" w:rsidRPr="00567B10" w:rsidRDefault="002970C4" w:rsidP="001702BE">
      <w:pPr>
        <w:spacing w:line="480" w:lineRule="auto"/>
        <w:rPr>
          <w:b/>
        </w:rPr>
      </w:pPr>
    </w:p>
    <w:p w14:paraId="0CB327DA" w14:textId="085FCFBD" w:rsidR="00325088" w:rsidRPr="00EC4EA7" w:rsidRDefault="00567B10" w:rsidP="001702BE">
      <w:pPr>
        <w:spacing w:line="480" w:lineRule="auto"/>
        <w:rPr>
          <w:b/>
        </w:rPr>
      </w:pPr>
      <w:r>
        <w:rPr>
          <w:b/>
        </w:rPr>
        <w:t xml:space="preserve">Some modeling </w:t>
      </w:r>
    </w:p>
    <w:p w14:paraId="500C9236" w14:textId="77777777" w:rsidR="00AE0F83" w:rsidRPr="00511143" w:rsidRDefault="00AE0F83" w:rsidP="001702BE">
      <w:pPr>
        <w:spacing w:line="480" w:lineRule="auto"/>
        <w:rPr>
          <w:b/>
        </w:rPr>
      </w:pPr>
      <w:r w:rsidRPr="00511143">
        <w:rPr>
          <w:b/>
        </w:rPr>
        <w:t>Cleaning DNA index values</w:t>
      </w:r>
    </w:p>
    <w:p w14:paraId="0D520E6B" w14:textId="77777777" w:rsidR="00AE0F83" w:rsidRDefault="00AE0F83" w:rsidP="001702BE">
      <w:pPr>
        <w:spacing w:line="480" w:lineRule="auto"/>
      </w:pPr>
      <w:r>
        <w:lastRenderedPageBreak/>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14:paraId="1FFFC875" w14:textId="77777777" w:rsidR="00DE28BC" w:rsidRPr="00511143" w:rsidRDefault="00DE28BC" w:rsidP="001702BE">
      <w:pPr>
        <w:spacing w:line="480" w:lineRule="auto"/>
        <w:rPr>
          <w:b/>
        </w:rPr>
      </w:pPr>
      <w:r w:rsidRPr="00511143">
        <w:rPr>
          <w:b/>
        </w:rPr>
        <w:t>Building the predication model</w:t>
      </w:r>
    </w:p>
    <w:p w14:paraId="32BA0313" w14:textId="77777777" w:rsidR="00DE28BC" w:rsidRDefault="00DE28BC" w:rsidP="001702BE">
      <w:pPr>
        <w:spacing w:line="480" w:lineRule="auto"/>
      </w:pPr>
      <w:r>
        <w:t xml:space="preserve">After cleaning all the dataset, we went ahead and tested out </w:t>
      </w:r>
      <w:r w:rsidR="00511143">
        <w:t>predication models (reference here</w:t>
      </w:r>
      <w:proofErr w:type="gramStart"/>
      <w:r w:rsidR="00511143">
        <w:t>..</w:t>
      </w:r>
      <w:proofErr w:type="gramEnd"/>
      <w:r w:rsidR="00511143">
        <w:t>)</w:t>
      </w:r>
    </w:p>
    <w:sectPr w:rsidR="00DE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1702BE"/>
    <w:rsid w:val="001D006D"/>
    <w:rsid w:val="002970C4"/>
    <w:rsid w:val="002D4ADF"/>
    <w:rsid w:val="00325088"/>
    <w:rsid w:val="00386248"/>
    <w:rsid w:val="00402540"/>
    <w:rsid w:val="0045138C"/>
    <w:rsid w:val="004F02D9"/>
    <w:rsid w:val="00511143"/>
    <w:rsid w:val="00567B10"/>
    <w:rsid w:val="0076543C"/>
    <w:rsid w:val="00AE0F83"/>
    <w:rsid w:val="00B46506"/>
    <w:rsid w:val="00BA3FE3"/>
    <w:rsid w:val="00D54620"/>
    <w:rsid w:val="00DE28BC"/>
    <w:rsid w:val="00EC4EA7"/>
    <w:rsid w:val="00F61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1211</Words>
  <Characters>6905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9</cp:revision>
  <dcterms:created xsi:type="dcterms:W3CDTF">2014-04-20T02:49:00Z</dcterms:created>
  <dcterms:modified xsi:type="dcterms:W3CDTF">2014-04-20T04:45:00Z</dcterms:modified>
</cp:coreProperties>
</file>