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DejaVu Sans" w:hAnsi="DejaVu Sans"/>
          <w:b/>
          <w:sz w:val="36"/>
          <w:color w:val="102A45"/>
        </w:rPr>
        <w:t>BẢN DỊCH: FUNDAMENTALS OF MULTIMEDIA (CHƯƠNG 11 &amp; 12)</w:t>
      </w:r>
    </w:p>
    <w:p>
      <w:pPr>
        <w:jc w:val="center"/>
      </w:pPr>
      <w:r>
        <w:rPr>
          <w:rFonts w:ascii="DejaVu Sans" w:hAnsi="DejaVu Sans"/>
          <w:i/>
          <w:sz w:val="22"/>
          <w:color w:val="555555"/>
        </w:rPr>
        <w:t>Học phần: Công nghệ đa phương tiện | Lớp 68PM1 - Nhóm XX | Người dịch: Lê Hoàng Cường</w:t>
      </w:r>
    </w:p>
    <w:p/>
    <w:p>
      <w:pPr>
        <w:spacing w:before="200" w:after="100"/>
      </w:pPr>
      <w:r>
        <w:rPr>
          <w:rFonts w:ascii="DejaVu Sans" w:hAnsi="DejaVu Sans"/>
          <w:b/>
          <w:sz w:val="28"/>
          <w:color w:val="2A5D84"/>
        </w:rPr>
        <w:t>Mục lục &amp; Giới thiệu tổng quan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Tài liệu dịch thuật chuyên sâu giáo trình Fundamentals of Multimedia của tác giả Ze-Nian Li, Mark S. Drew và Jiangchuan Liu.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Nội dung bao gồm toàn bộ Chương 11 (Chuẩn nén video MPEG-1, MPEG-2, MPEG-4, MPEG-7) và Chương 12 (Chuẩn nén video hiện đại H.264 và H.265).</w:t>
      </w:r>
    </w:p>
    <w:p>
      <w:pPr>
        <w:spacing w:before="200" w:after="100"/>
      </w:pPr>
      <w:r>
        <w:rPr>
          <w:rFonts w:ascii="DejaVu Sans" w:hAnsi="DejaVu Sans"/>
          <w:b/>
          <w:sz w:val="28"/>
          <w:color w:val="2A5D84"/>
        </w:rPr>
        <w:t>Chương 11: Chuẩn Nén Video Dòng MPEG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11.1 Tổng quan về nén video liên khung (Inter-frame Compression): Tận dụng độ dư thừa thời gian giữa các khung hình liên tiếp.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11.2 Phân loại khung hình I, P, B và cấu trúc nhóm hình ảnh (Group of Pictures - GOP). Khung I là điểm phục hồi độc lập, khung P dự đoán một chiều, khung B dự đoán hai chiều từ quá khứ và tương lai.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11.3 Ước lượng chuyển động (Motion Estimation) bằng thuật toán so khớp khối (Block Matching) và Bù chuyển động (Motion Compensation).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11.4 Chuẩn MPEG-2: Tương thích truyền hình số, quét xen kẽ (Interlaced Video) và khả năng co giãn độ phân giải (Scalability).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11.5 Chuẩn MPEG-4: Mã hóa dựa trên đối tượng nghe nhìn (Visual Object Sequence), cho phép tương tác với từng thành phần trong cảnh.</w:t>
      </w:r>
    </w:p>
    <w:p>
      <w:pPr>
        <w:spacing w:before="200" w:after="100"/>
      </w:pPr>
      <w:r>
        <w:rPr>
          <w:rFonts w:ascii="DejaVu Sans" w:hAnsi="DejaVu Sans"/>
          <w:b/>
          <w:sz w:val="28"/>
          <w:color w:val="2A5D84"/>
        </w:rPr>
        <w:t>Chương 12: Chuẩn Nén H.264 (AVC) &amp; H.265 (HEVC)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12.1 Cải tiến cốt lõi của H.264: Dự đoán nội khung 9 hướng cho khối 4x4, biến đổi số nguyên 4x4 xấp xỉ DCT loại bỏ sai số trôi làm tròn.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12.2 Bộ lọc khử khối lặp thích ứng (Adaptive In-loop Deblocking Filter) giúp loại bỏ hiện tượng răng cưa ở biên khối macro.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12.3 Mã hóa entropy thích ứng ngữ cảnh: CAVLC và CABAC, giúp tăng hiệu suất nén thêm 10-15% ở cùng mức chất lượng hình ảnh.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12.4 Chuẩn H.265 (HEVC): Thay thế khối Macroblock 16x16 bằng đơn vị cây mã hóa CTU kích thước lên tới 64x64, giảm 50% bitrate so với H.264 khi phát luồng 4K/8K.</w:t>
      </w:r>
    </w:p>
    <w:sectPr>
      <w:pgSz w:w="11906" w:h="16838"/>
      <w:pgMar w:top="1440" w:right="1440" w:bottom="1440" w:left="1440"/>
    </w:sectPr>
  </w:body>
</w:document>
</file>