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الموازنة التقديرية لعام 2018</w:t>
      </w:r>
    </w:p>
    <w:p>
      <w:r>
        <w:rPr>
          <w:rFonts w:ascii="Noto Serif" w:hAnsi="Noto Serif" w:eastAsia="Noto Serif" w:cs="Noto Naskh Arabic"/>
          <w:b w:val="1"/>
          <w:bCs w:val="1"/>
          <w:rtl w:val="1"/>
        </w:rPr>
        <w:t>مؤسسة الريحان للتنمية — الإدارة المالية</w:t>
      </w:r>
    </w:p>
    <w:p>
      <w:r>
        <w:rPr>
          <w:rFonts w:ascii="Noto Serif" w:hAnsi="Noto Serif" w:eastAsia="Noto Serif" w:cs="Noto Naskh Arabic"/>
          <w:b w:val="1"/>
          <w:bCs w:val="1"/>
          <w:rtl w:val="1"/>
        </w:rPr>
        <w:t>اعتمدها مجلس الإدارة في اجتماعه المنعقد بتاريخ 21 كانون الأول/ديسمبر 2017</w:t>
      </w:r>
    </w:p>
    <w:p>
      <w:pPr>
        <w:pStyle w:val="SanadNotice"/>
      </w:pPr>
      <w:r>
        <w:t>وثيقة مُصطنعة لأغراض العرض والاختبار؛ جميع الأسماء والأرقام والجهات الواردة فيها خيالية.</w:t>
      </w:r>
    </w:p>
    <w:p>
      <w:pPr>
        <w:pStyle w:val="Heading2"/>
      </w:pPr>
      <w:r>
        <w:t>تمهيد</w:t>
      </w:r>
    </w:p>
    <w:p>
      <w:r>
        <w:t>تُعد موازنة عام 2018 الأكبر في تاريخ المؤسسة حتى الآن، إذ تضم للمرة الأولى مشروعاً للبنية التحتية هو مشروع المياه والإصحاح البيئي في المناطق الريفية، إضافة إلى المرحلة التجريبية لبرنامج سُبل العيش للنساء المعيلات التي أقرها المجلس في تشرين الثاني/نوفمبر 2017.</w:t>
      </w:r>
    </w:p>
    <w:p>
      <w:r>
        <w:t>ويبلغ إجمالي الموازنة 1,650,000 دولار أمريكي. وقد أُعدت على أساس الاتفاقيات الموقعة والتعهدات المكتوبة فقط، مع افتراض توقيع اتفاقية مشروع المياه مع صندوق سدرة الوادي للتنمية قبل نهاية الربع الأول من العام.</w:t>
      </w:r>
    </w:p>
    <w:p>
      <w:r>
        <w:t>أعدّ الموازنة رامي الخطيب (اسم مستعار)، المدير المالي، وراجعها أمين الصندوق في مجلس الإدارة.</w:t>
      </w:r>
    </w:p>
    <w:p>
      <w:pPr>
        <w:pStyle w:val="Heading2"/>
        <w:pageBreakBefore/>
      </w:pPr>
      <w:r>
        <w:t>تقديرات الإيرادات</w:t>
      </w:r>
    </w:p>
    <w:tbl>
      <w:tblPr>
        <w:tblStyle w:val="TableGrid"/>
        <w:bidiVisual w:val="1"/>
        <w:tblW w:type="pct" w:w="5000"/>
        <w:tblLook w:firstColumn="1" w:firstRow="1" w:lastColumn="0" w:lastRow="0" w:noHBand="0" w:noVBand="1" w:val="04A0"/>
      </w:tblPr>
      <w:tblGrid>
        <w:gridCol w:w="4819"/>
        <w:gridCol w:w="4819"/>
      </w:tblGrid>
      <w:tr>
        <w:tc>
          <w:tcPr>
            <w:tcW w:type="dxa" w:w="4819"/>
            <w:shd w:val="clear" w:color="auto" w:fill="E3ECEF"/>
          </w:tcPr>
          <w:p>
            <w:pPr>
              <w:pStyle w:val="SanadTableText"/>
            </w:pPr>
            <w:r>
              <w:rPr>
                <w:rFonts w:ascii="Noto Serif" w:hAnsi="Noto Serif" w:eastAsia="Noto Serif" w:cs="Noto Naskh Arabic"/>
                <w:b w:val="1"/>
                <w:bCs w:val="1"/>
                <w:rtl w:val="1"/>
              </w:rPr>
              <w:t>مصدر الإيرادات</w:t>
            </w:r>
          </w:p>
        </w:tc>
        <w:tc>
          <w:tcPr>
            <w:tcW w:type="dxa" w:w="4819"/>
            <w:shd w:val="clear" w:color="auto" w:fill="E3ECEF"/>
          </w:tcPr>
          <w:p>
            <w:pPr>
              <w:pStyle w:val="SanadTableText"/>
            </w:pPr>
            <w:r>
              <w:rPr>
                <w:rFonts w:ascii="Noto Serif" w:hAnsi="Noto Serif" w:eastAsia="Noto Serif" w:cs="Noto Naskh Arabic"/>
                <w:b w:val="1"/>
                <w:bCs w:val="1"/>
                <w:rtl w:val="1"/>
              </w:rPr>
              <w:t>المبلغ المقدر (دولار أمريكي)</w:t>
            </w:r>
          </w:p>
        </w:tc>
      </w:tr>
      <w:tr>
        <w:tc>
          <w:tcPr>
            <w:tcW w:type="dxa" w:w="4819"/>
          </w:tcPr>
          <w:p>
            <w:pPr>
              <w:pStyle w:val="SanadTableText"/>
            </w:pPr>
            <w:r>
              <w:t>صندوق سدرة الوادي للتنمية: الدفعة الأولى من منحة مشروع المياه</w:t>
            </w:r>
          </w:p>
        </w:tc>
        <w:tc>
          <w:tcPr>
            <w:tcW w:type="dxa" w:w="4819"/>
          </w:tcPr>
          <w:p>
            <w:pPr>
              <w:pStyle w:val="SanadTableText"/>
            </w:pPr>
            <w:r>
              <w:t>400,000</w:t>
            </w:r>
          </w:p>
        </w:tc>
      </w:tr>
      <w:tr>
        <w:tc>
          <w:tcPr>
            <w:tcW w:type="dxa" w:w="4819"/>
          </w:tcPr>
          <w:p>
            <w:pPr>
              <w:pStyle w:val="SanadTableText"/>
            </w:pPr>
            <w:r>
              <w:t>منح أخرى من الجهات المانحة المؤسسية</w:t>
            </w:r>
          </w:p>
        </w:tc>
        <w:tc>
          <w:tcPr>
            <w:tcW w:type="dxa" w:w="4819"/>
          </w:tcPr>
          <w:p>
            <w:pPr>
              <w:pStyle w:val="SanadTableText"/>
            </w:pPr>
            <w:r>
              <w:t>780,000</w:t>
            </w:r>
          </w:p>
        </w:tc>
      </w:tr>
      <w:tr>
        <w:tc>
          <w:tcPr>
            <w:tcW w:type="dxa" w:w="4819"/>
          </w:tcPr>
          <w:p>
            <w:pPr>
              <w:pStyle w:val="SanadTableText"/>
            </w:pPr>
            <w:r>
              <w:t>تبرعات الأفراد والشركات</w:t>
            </w:r>
          </w:p>
        </w:tc>
        <w:tc>
          <w:tcPr>
            <w:tcW w:type="dxa" w:w="4819"/>
          </w:tcPr>
          <w:p>
            <w:pPr>
              <w:pStyle w:val="SanadTableText"/>
            </w:pPr>
            <w:r>
              <w:t>380,000</w:t>
            </w:r>
          </w:p>
        </w:tc>
      </w:tr>
      <w:tr>
        <w:tc>
          <w:tcPr>
            <w:tcW w:type="dxa" w:w="4819"/>
          </w:tcPr>
          <w:p>
            <w:pPr>
              <w:pStyle w:val="SanadTableText"/>
            </w:pPr>
            <w:r>
              <w:t>إيرادات ذاتية</w:t>
            </w:r>
          </w:p>
        </w:tc>
        <w:tc>
          <w:tcPr>
            <w:tcW w:type="dxa" w:w="4819"/>
          </w:tcPr>
          <w:p>
            <w:pPr>
              <w:pStyle w:val="SanadTableText"/>
            </w:pPr>
            <w:r>
              <w:t>90,000</w:t>
            </w:r>
          </w:p>
        </w:tc>
      </w:tr>
      <w:tr>
        <w:tc>
          <w:tcPr>
            <w:tcW w:type="dxa" w:w="4819"/>
          </w:tcPr>
          <w:p>
            <w:pPr>
              <w:pStyle w:val="SanadTableText"/>
            </w:pPr>
            <w:r>
              <w:rPr>
                <w:rFonts w:ascii="Noto Serif" w:hAnsi="Noto Serif" w:eastAsia="Noto Serif" w:cs="Noto Naskh Arabic"/>
                <w:b w:val="1"/>
                <w:bCs w:val="1"/>
                <w:rtl w:val="1"/>
              </w:rPr>
              <w:t>إجمالي الإيرادات المقدرة</w:t>
            </w:r>
          </w:p>
        </w:tc>
        <w:tc>
          <w:tcPr>
            <w:tcW w:type="dxa" w:w="4819"/>
          </w:tcPr>
          <w:p>
            <w:pPr>
              <w:pStyle w:val="SanadTableText"/>
            </w:pPr>
            <w:r>
              <w:rPr>
                <w:rFonts w:ascii="Noto Serif" w:hAnsi="Noto Serif" w:eastAsia="Noto Serif" w:cs="Noto Naskh Arabic"/>
                <w:b w:val="1"/>
                <w:bCs w:val="1"/>
                <w:rtl w:val="1"/>
              </w:rPr>
              <w:t>1,650,000</w:t>
            </w:r>
          </w:p>
        </w:tc>
      </w:tr>
    </w:tbl>
    <w:p>
      <w:pPr>
        <w:pStyle w:val="Heading3"/>
        <w:spacing w:before="160"/>
      </w:pPr>
      <w:r>
        <w:t>ملاحظات على الإيرادات</w:t>
      </w:r>
    </w:p>
    <w:p>
      <w:pPr>
        <w:pStyle w:val="SanadListItem"/>
        <w:ind w:start="454" w:hanging="340"/>
      </w:pPr>
      <w:r>
        <w:t>•</w:t>
        <w:tab/>
      </w:r>
      <w:r>
        <w:t>تعتمد المؤسسة على تبرعات الأفراد لتغطية جزء مهم من برنامج الصحة المجتمعية، ولذلك ستُطلق حملة تبرعات في شهر رمضان.</w:t>
      </w:r>
    </w:p>
    <w:p>
      <w:pPr>
        <w:pStyle w:val="SanadListItem"/>
        <w:ind w:start="454" w:hanging="340"/>
      </w:pPr>
      <w:r>
        <w:t>•</w:t>
        <w:tab/>
      </w:r>
      <w:r>
        <w:t>تمثل الإيرادات الذاتية رسوم الدورات القصيرة وتأجير قاعة الاجتماعات في المقر.</w:t>
      </w:r>
    </w:p>
    <w:p>
      <w:pPr>
        <w:pStyle w:val="SanadListItem"/>
        <w:ind w:start="454" w:hanging="340"/>
      </w:pPr>
      <w:r>
        <w:t>•</w:t>
        <w:tab/>
      </w:r>
      <w:r>
        <w:t>إذا تأخر توقيع اتفاقية مشروع المياه، تُؤجل الأعمال الإنشائية ويُخفض مخصص المشروع بما يعادل الدفعة المتأخرة.</w:t>
      </w:r>
    </w:p>
    <w:p>
      <w:pPr>
        <w:pStyle w:val="Heading2"/>
        <w:pageBreakBefore/>
      </w:pPr>
      <w:r>
        <w:t>تقديرات النفقات حسب البرنامج</w:t>
      </w:r>
    </w:p>
    <w:tbl>
      <w:tblPr>
        <w:tblStyle w:val="TableGrid"/>
        <w:bidiVisual w:val="1"/>
        <w:tblW w:type="pct" w:w="5000"/>
        <w:tblLook w:firstColumn="1" w:firstRow="1" w:lastColumn="0" w:lastRow="0" w:noHBand="0" w:noVBand="1" w:val="04A0"/>
      </w:tblPr>
      <w:tblGrid>
        <w:gridCol w:w="4819"/>
        <w:gridCol w:w="4819"/>
      </w:tblGrid>
      <w:tr>
        <w:tc>
          <w:tcPr>
            <w:tcW w:type="dxa" w:w="4819"/>
            <w:shd w:val="clear" w:color="auto" w:fill="E3ECEF"/>
          </w:tcPr>
          <w:p>
            <w:pPr>
              <w:pStyle w:val="SanadTableText"/>
            </w:pPr>
            <w:r>
              <w:rPr>
                <w:rFonts w:ascii="Noto Serif" w:hAnsi="Noto Serif" w:eastAsia="Noto Serif" w:cs="Noto Naskh Arabic"/>
                <w:b w:val="1"/>
                <w:bCs w:val="1"/>
                <w:rtl w:val="1"/>
              </w:rPr>
              <w:t>البند</w:t>
            </w:r>
          </w:p>
        </w:tc>
        <w:tc>
          <w:tcPr>
            <w:tcW w:type="dxa" w:w="4819"/>
            <w:shd w:val="clear" w:color="auto" w:fill="E3ECEF"/>
          </w:tcPr>
          <w:p>
            <w:pPr>
              <w:pStyle w:val="SanadTableText"/>
            </w:pPr>
            <w:r>
              <w:rPr>
                <w:rFonts w:ascii="Noto Serif" w:hAnsi="Noto Serif" w:eastAsia="Noto Serif" w:cs="Noto Naskh Arabic"/>
                <w:b w:val="1"/>
                <w:bCs w:val="1"/>
                <w:rtl w:val="1"/>
              </w:rPr>
              <w:t>المبلغ المقترح (دولار أمريكي)</w:t>
            </w:r>
          </w:p>
        </w:tc>
      </w:tr>
      <w:tr>
        <w:tc>
          <w:tcPr>
            <w:tcW w:type="dxa" w:w="4819"/>
          </w:tcPr>
          <w:p>
            <w:pPr>
              <w:pStyle w:val="SanadTableText"/>
            </w:pPr>
            <w:r>
              <w:t>برنامج دعم التعليم الأساسي للفتيات</w:t>
            </w:r>
          </w:p>
        </w:tc>
        <w:tc>
          <w:tcPr>
            <w:tcW w:type="dxa" w:w="4819"/>
          </w:tcPr>
          <w:p>
            <w:pPr>
              <w:pStyle w:val="SanadTableText"/>
            </w:pPr>
            <w:r>
              <w:t>520,000</w:t>
            </w:r>
          </w:p>
        </w:tc>
      </w:tr>
      <w:tr>
        <w:tc>
          <w:tcPr>
            <w:tcW w:type="dxa" w:w="4819"/>
          </w:tcPr>
          <w:p>
            <w:pPr>
              <w:pStyle w:val="SanadTableText"/>
            </w:pPr>
            <w:r>
              <w:t>مشروع المياه والإصحاح البيئي في المناطق الريفية</w:t>
            </w:r>
          </w:p>
        </w:tc>
        <w:tc>
          <w:tcPr>
            <w:tcW w:type="dxa" w:w="4819"/>
          </w:tcPr>
          <w:p>
            <w:pPr>
              <w:pStyle w:val="SanadTableText"/>
            </w:pPr>
            <w:r>
              <w:t>480,000</w:t>
            </w:r>
          </w:p>
        </w:tc>
      </w:tr>
      <w:tr>
        <w:tc>
          <w:tcPr>
            <w:tcW w:type="dxa" w:w="4819"/>
          </w:tcPr>
          <w:p>
            <w:pPr>
              <w:pStyle w:val="SanadTableText"/>
            </w:pPr>
            <w:r>
              <w:t>برنامج الصحة المجتمعية</w:t>
            </w:r>
          </w:p>
        </w:tc>
        <w:tc>
          <w:tcPr>
            <w:tcW w:type="dxa" w:w="4819"/>
          </w:tcPr>
          <w:p>
            <w:pPr>
              <w:pStyle w:val="SanadTableText"/>
            </w:pPr>
            <w:r>
              <w:t>390,000</w:t>
            </w:r>
          </w:p>
        </w:tc>
      </w:tr>
      <w:tr>
        <w:tc>
          <w:tcPr>
            <w:tcW w:type="dxa" w:w="4819"/>
          </w:tcPr>
          <w:p>
            <w:pPr>
              <w:pStyle w:val="SanadTableText"/>
            </w:pPr>
            <w:r>
              <w:t>برنامج سُبل العيش للنساء المعيلات (مرحلة تجريبية)</w:t>
            </w:r>
          </w:p>
        </w:tc>
        <w:tc>
          <w:tcPr>
            <w:tcW w:type="dxa" w:w="4819"/>
          </w:tcPr>
          <w:p>
            <w:pPr>
              <w:pStyle w:val="SanadTableText"/>
            </w:pPr>
            <w:r>
              <w:t>120,000</w:t>
            </w:r>
          </w:p>
        </w:tc>
      </w:tr>
      <w:tr>
        <w:tc>
          <w:tcPr>
            <w:tcW w:type="dxa" w:w="4819"/>
          </w:tcPr>
          <w:p>
            <w:pPr>
              <w:pStyle w:val="SanadTableText"/>
            </w:pPr>
            <w:r>
              <w:t>التكاليف الإدارية وتكاليف الدعم</w:t>
            </w:r>
          </w:p>
        </w:tc>
        <w:tc>
          <w:tcPr>
            <w:tcW w:type="dxa" w:w="4819"/>
          </w:tcPr>
          <w:p>
            <w:pPr>
              <w:pStyle w:val="SanadTableText"/>
            </w:pPr>
            <w:r>
              <w:t>140,000</w:t>
            </w:r>
          </w:p>
        </w:tc>
      </w:tr>
      <w:tr>
        <w:tc>
          <w:tcPr>
            <w:tcW w:type="dxa" w:w="4819"/>
          </w:tcPr>
          <w:p>
            <w:pPr>
              <w:pStyle w:val="SanadTableText"/>
            </w:pPr>
            <w:r>
              <w:rPr>
                <w:rFonts w:ascii="Noto Serif" w:hAnsi="Noto Serif" w:eastAsia="Noto Serif" w:cs="Noto Naskh Arabic"/>
                <w:b w:val="1"/>
                <w:bCs w:val="1"/>
                <w:rtl w:val="1"/>
              </w:rPr>
              <w:t>إجمالي النفقات</w:t>
            </w:r>
          </w:p>
        </w:tc>
        <w:tc>
          <w:tcPr>
            <w:tcW w:type="dxa" w:w="4819"/>
          </w:tcPr>
          <w:p>
            <w:pPr>
              <w:pStyle w:val="SanadTableText"/>
            </w:pPr>
            <w:r>
              <w:rPr>
                <w:rFonts w:ascii="Noto Serif" w:hAnsi="Noto Serif" w:eastAsia="Noto Serif" w:cs="Noto Naskh Arabic"/>
                <w:b w:val="1"/>
                <w:bCs w:val="1"/>
                <w:rtl w:val="1"/>
              </w:rPr>
              <w:t>1,650,000</w:t>
            </w:r>
          </w:p>
        </w:tc>
      </w:tr>
    </w:tbl>
    <w:p>
      <w:pPr>
        <w:spacing w:before="160"/>
      </w:pPr>
      <w:r>
        <w:t>يشمل مخصص مشروع المياه الدفعة الأولى من منحة صندوق سدرة الوادي للتنمية، ومساهمة ذاتية من المؤسسة قدرها 80,000 دولار أمريكي لتغطية دراسات التصميم الهندسي.</w:t>
      </w:r>
    </w:p>
    <w:p>
      <w:r>
        <w:t>وتمثل التكاليف الإدارية وتكاليف الدعم 8.5% من إجمالي الموازنة، وتشمل الإدارة التنفيذية والمالية وإيجار المقر والتدقيق الخارجي.</w:t>
      </w:r>
    </w:p>
    <w:p>
      <w:pPr>
        <w:pStyle w:val="Heading2"/>
        <w:pageBreakBefore/>
      </w:pPr>
      <w:r>
        <w:t>الوظائف وتكاليف الموظفين</w:t>
      </w:r>
    </w:p>
    <w:p>
      <w:r>
        <w:t>تقترح الموازنة رفع عدد الوظائف إلى 38 وظيفة بنهاية 2018، مقابل 31 موظفاً في نهاية تشرين الأول/أكتوبر 2017. وتشمل الوظائف الجديدة مهندس مياه، ومنسقة لبرنامج سُبل العيش، وثلاثة مشرفين ميدانيين لمشروع المياه، وموظفَين في الإدارة المالية.</w:t>
      </w:r>
    </w:p>
    <w:p>
      <w:pPr>
        <w:pStyle w:val="Heading3"/>
      </w:pPr>
      <w:r>
        <w:t>سلم الرواتب (جدول توضيحي بأرقام افتراضية)</w:t>
      </w:r>
    </w:p>
    <w:tbl>
      <w:tblPr>
        <w:tblStyle w:val="TableGrid"/>
        <w:bidiVisual w:val="1"/>
        <w:tblW w:type="pct" w:w="5000"/>
        <w:tblLook w:firstColumn="1" w:firstRow="1" w:lastColumn="0" w:lastRow="0" w:noHBand="0" w:noVBand="1" w:val="04A0"/>
      </w:tblPr>
      <w:tblGrid>
        <w:gridCol w:w="4819"/>
        <w:gridCol w:w="4819"/>
      </w:tblGrid>
      <w:tr>
        <w:tc>
          <w:tcPr>
            <w:tcW w:type="dxa" w:w="4819"/>
            <w:shd w:val="clear" w:color="auto" w:fill="E3ECEF"/>
          </w:tcPr>
          <w:p>
            <w:pPr>
              <w:pStyle w:val="SanadTableText"/>
            </w:pPr>
            <w:r>
              <w:rPr>
                <w:rFonts w:ascii="Noto Serif" w:hAnsi="Noto Serif" w:eastAsia="Noto Serif" w:cs="Noto Naskh Arabic"/>
                <w:b w:val="1"/>
                <w:bCs w:val="1"/>
                <w:rtl w:val="1"/>
              </w:rPr>
              <w:t>الدرجة الوظيفية</w:t>
            </w:r>
          </w:p>
        </w:tc>
        <w:tc>
          <w:tcPr>
            <w:tcW w:type="dxa" w:w="4819"/>
            <w:shd w:val="clear" w:color="auto" w:fill="E3ECEF"/>
          </w:tcPr>
          <w:p>
            <w:pPr>
              <w:pStyle w:val="SanadTableText"/>
            </w:pPr>
            <w:r>
              <w:rPr>
                <w:rFonts w:ascii="Noto Serif" w:hAnsi="Noto Serif" w:eastAsia="Noto Serif" w:cs="Noto Naskh Arabic"/>
                <w:b w:val="1"/>
                <w:bCs w:val="1"/>
                <w:rtl w:val="1"/>
              </w:rPr>
              <w:t>الراتب الشهري الإجمالي (دولار أمريكي)</w:t>
            </w:r>
          </w:p>
        </w:tc>
      </w:tr>
      <w:tr>
        <w:tc>
          <w:tcPr>
            <w:tcW w:type="dxa" w:w="4819"/>
          </w:tcPr>
          <w:p>
            <w:pPr>
              <w:pStyle w:val="SanadTableText"/>
            </w:pPr>
            <w:r>
              <w:t>الدرجة الأولى: إدارة عليا</w:t>
            </w:r>
          </w:p>
        </w:tc>
        <w:tc>
          <w:tcPr>
            <w:tcW w:type="dxa" w:w="4819"/>
          </w:tcPr>
          <w:p>
            <w:pPr>
              <w:pStyle w:val="SanadTableText"/>
            </w:pPr>
            <w:r>
              <w:t>1,700 – 2,100</w:t>
            </w:r>
          </w:p>
        </w:tc>
      </w:tr>
      <w:tr>
        <w:tc>
          <w:tcPr>
            <w:tcW w:type="dxa" w:w="4819"/>
          </w:tcPr>
          <w:p>
            <w:pPr>
              <w:pStyle w:val="SanadTableText"/>
            </w:pPr>
            <w:r>
              <w:t>الدرجة الثانية: مدير برنامج</w:t>
            </w:r>
          </w:p>
        </w:tc>
        <w:tc>
          <w:tcPr>
            <w:tcW w:type="dxa" w:w="4819"/>
          </w:tcPr>
          <w:p>
            <w:pPr>
              <w:pStyle w:val="SanadTableText"/>
            </w:pPr>
            <w:r>
              <w:t>1,200 – 1,600</w:t>
            </w:r>
          </w:p>
        </w:tc>
      </w:tr>
      <w:tr>
        <w:tc>
          <w:tcPr>
            <w:tcW w:type="dxa" w:w="4819"/>
          </w:tcPr>
          <w:p>
            <w:pPr>
              <w:pStyle w:val="SanadTableText"/>
            </w:pPr>
            <w:r>
              <w:t>الدرجة الثالثة: منسق أو أخصائي</w:t>
            </w:r>
          </w:p>
        </w:tc>
        <w:tc>
          <w:tcPr>
            <w:tcW w:type="dxa" w:w="4819"/>
          </w:tcPr>
          <w:p>
            <w:pPr>
              <w:pStyle w:val="SanadTableText"/>
            </w:pPr>
            <w:r>
              <w:t>750 – 1,100</w:t>
            </w:r>
          </w:p>
        </w:tc>
      </w:tr>
      <w:tr>
        <w:tc>
          <w:tcPr>
            <w:tcW w:type="dxa" w:w="4819"/>
          </w:tcPr>
          <w:p>
            <w:pPr>
              <w:pStyle w:val="SanadTableText"/>
            </w:pPr>
            <w:r>
              <w:t>الدرجة الرابعة: موظف ميداني</w:t>
            </w:r>
          </w:p>
        </w:tc>
        <w:tc>
          <w:tcPr>
            <w:tcW w:type="dxa" w:w="4819"/>
          </w:tcPr>
          <w:p>
            <w:pPr>
              <w:pStyle w:val="SanadTableText"/>
            </w:pPr>
            <w:r>
              <w:t>480 – 700</w:t>
            </w:r>
          </w:p>
        </w:tc>
      </w:tr>
    </w:tbl>
    <w:p>
      <w:pPr>
        <w:spacing w:before="160"/>
      </w:pPr>
      <w:r>
        <w:t>لا يرتبط هذا الجدول بأي موظف بعينه، ويُستخدم لأغراض التخطيط فقط.</w:t>
      </w:r>
    </w:p>
    <w:p>
      <w:pPr>
        <w:pStyle w:val="Heading2"/>
      </w:pPr>
      <w:r>
        <w:t>الاعتماد</w:t>
      </w:r>
    </w:p>
    <w:p>
      <w:r>
        <w:t>اعتمد مجلس الإدارة هذه الموازنة بالإجماع، وطلب تقديم تقرير عن تنفيذها في منتصف العام، مع إعادة النظر في مخصص مشروع المياه إذا تأخر توقيع اتفاقيته.</w:t>
      </w:r>
    </w:p>
    <w:sectPr w:rsidR="00FC693F" w:rsidRPr="0006063C" w:rsidSect="00034616">
      <w:pgSz w:w="11906" w:h="16838"/>
      <w:pgMar w:top="1134" w:right="1134" w:bottom="1134" w:left="1134" w:header="567" w:footer="567"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erif" w:hAnsi="Noto Serif" w:eastAsia="Noto Serif" w:cs="Noto Naskh Arabic"/>
        <w:sz w:val="24"/>
        <w:szCs w:val="24"/>
        <w:rtl w:val="1"/>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spacing w:after="120" w:line="276" w:lineRule="auto"/>
    </w:pPr>
    <w:rPr>
      <w:rFonts w:ascii="Noto Serif" w:hAnsi="Noto Serif" w:eastAsia="Noto Serif" w:cs="Noto Naskh Arabic"/>
      <w:sz w:val="24"/>
      <w:szCs w:val="24"/>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20"/>
      <w:outlineLvl w:val="0"/>
    </w:pPr>
    <w:rPr>
      <w:rFonts w:ascii="Noto Serif" w:hAnsi="Noto Serif" w:eastAsia="Noto Serif" w:cs="Noto Naskh Arabic"/>
      <w:b w:val="1"/>
      <w:bCs w:val="1"/>
      <w:color w:val="1F4E5F"/>
      <w:sz w:val="40"/>
      <w:szCs w:val="40"/>
      <w:rtl w:val="1"/>
    </w:rPr>
  </w:style>
  <w:style w:type="paragraph" w:styleId="Heading2">
    <w:name w:val="heading 2"/>
    <w:basedOn w:val="Normal"/>
    <w:next w:val="Normal"/>
    <w:link w:val="Heading2Char"/>
    <w:uiPriority w:val="9"/>
    <w:unhideWhenUsed/>
    <w:qFormat/>
    <w:rsid w:val="00FC693F"/>
    <w:pPr>
      <w:keepNext/>
      <w:keepLines/>
      <w:bidi w:val="1"/>
      <w:spacing w:before="200" w:after="120"/>
      <w:outlineLvl w:val="1"/>
    </w:pPr>
    <w:rPr>
      <w:rFonts w:ascii="Noto Serif" w:hAnsi="Noto Serif" w:eastAsia="Noto Serif" w:cs="Noto Naskh Arabic"/>
      <w:b w:val="1"/>
      <w:bCs w:val="1"/>
      <w:color w:val="1F4E5F"/>
      <w:sz w:val="30"/>
      <w:szCs w:val="30"/>
      <w:rtl w:val="1"/>
    </w:rPr>
  </w:style>
  <w:style w:type="paragraph" w:styleId="Heading3">
    <w:name w:val="heading 3"/>
    <w:basedOn w:val="Normal"/>
    <w:next w:val="Normal"/>
    <w:link w:val="Heading3Char"/>
    <w:uiPriority w:val="9"/>
    <w:unhideWhenUsed/>
    <w:qFormat/>
    <w:rsid w:val="00FC693F"/>
    <w:pPr>
      <w:keepNext/>
      <w:keepLines/>
      <w:bidi w:val="1"/>
      <w:spacing w:before="200" w:after="120"/>
      <w:outlineLvl w:val="2"/>
    </w:pPr>
    <w:rPr>
      <w:rFonts w:ascii="Noto Serif" w:hAnsi="Noto Serif" w:eastAsia="Noto Serif" w:cs="Noto Naskh Arabic"/>
      <w:b w:val="1"/>
      <w:bCs w:val="1"/>
      <w:color w:val="1F4E5F"/>
      <w:sz w:val="26"/>
      <w:szCs w:val="26"/>
      <w:rtl w:val="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nadTableText">
    <w:name w:val="Sanad Table Text"/>
    <w:basedOn w:val="Normal"/>
    <w:pPr>
      <w:spacing w:after="0" w:line="240" w:lineRule="auto"/>
    </w:pPr>
    <w:rPr>
      <w:rFonts w:ascii="Noto Serif" w:hAnsi="Noto Serif" w:eastAsia="Noto Serif" w:cs="Noto Naskh Arabic"/>
      <w:sz w:val="21"/>
      <w:szCs w:val="21"/>
      <w:rtl w:val="1"/>
    </w:rPr>
  </w:style>
  <w:style w:type="paragraph" w:customStyle="1" w:styleId="SanadNotice">
    <w:name w:val="Sanad Notice"/>
    <w:basedOn w:val="Normal"/>
    <w:pPr>
      <w:pBdr>
        <w:right w:val="single" w:sz="18" w:space="6" w:color="B08D57"/>
      </w:pBdr>
      <w:shd w:val="clear" w:color="auto" w:fill="F6F1E7"/>
    </w:pPr>
    <w:rPr>
      <w:rFonts w:ascii="Noto Serif" w:hAnsi="Noto Serif" w:eastAsia="Noto Serif" w:cs="Noto Naskh Arabic"/>
      <w:sz w:val="21"/>
      <w:szCs w:val="21"/>
      <w:rtl w:val="1"/>
    </w:rPr>
  </w:style>
  <w:style w:type="paragraph" w:customStyle="1" w:styleId="SanadListItem">
    <w:name w:val="Sanad List Item"/>
    <w:basedOn w:val="Normal"/>
    <w:pPr>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الموازنة التقديرية لعام 2018</dc:title>
  <dc:subject>2018 Budget</dc:subject>
  <dc:creator>Al-Rayhan Development Foundation (synthetic)</dc:creator>
  <cp:keywords>synthetic demo corpus</cp:keywords>
  <dc:description>Synthetic demo corpus. The organisation, donors, evaluators, places, people and figures are all fictional.</dc:description>
  <cp:lastModifiedBy>Al-Rayhan Development Foundation (synthetic)</cp:lastModifiedBy>
  <cp:revision>1</cp:revision>
  <dcterms:created xsi:type="dcterms:W3CDTF">2026-10-24T00:00:00Z</dcterms:created>
  <dcterms:modified xsi:type="dcterms:W3CDTF">2026-10-24T00:00:00Z</dcterms:modified>
  <cp:category>budget</cp:category>
  <cp:lastPrinted>2026-10-24T00:00:00Z</cp:lastPrinted>
  <dc:language>ar-SA</dc:language>
</cp:coreProperties>
</file>