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التقييم الداخلي لبرنامج سُبل العيش للنساء المعيلات</w:t>
      </w:r>
    </w:p>
    <w:p>
      <w:pPr>
        <w:pStyle w:val="Heading2"/>
      </w:pPr>
      <w:r>
        <w:t>مستفيدات عامي 2021 و2022</w:t>
      </w:r>
    </w:p>
    <w:p>
      <w:r>
        <w:rPr>
          <w:rFonts w:ascii="Noto Serif" w:hAnsi="Noto Serif" w:eastAsia="Noto Serif" w:cs="Noto Naskh Arabic"/>
          <w:b w:val="1"/>
          <w:bCs w:val="1"/>
          <w:rtl w:val="1"/>
        </w:rPr>
        <w:t>مؤسسة الريحان للتنمية — وحدة الرصد والتقييم — تشرين الثاني/نوفمبر 2023</w:t>
      </w:r>
    </w:p>
    <w:p>
      <w:pPr>
        <w:pStyle w:val="SanadNotice"/>
      </w:pPr>
      <w:r>
        <w:t>وثيقة مُصطنعة لأغراض العرض والاختبار؛ جميع الأسماء والأرقام والجهات الواردة فيها خيالية.</w:t>
      </w:r>
    </w:p>
    <w:p>
      <w:pPr>
        <w:pStyle w:val="Heading2"/>
      </w:pPr>
      <w:r>
        <w:t>لماذا هذا التقييم؟</w:t>
      </w:r>
    </w:p>
    <w:p>
      <w:r>
        <w:t>يقدم برنامج سُبل العيش للنساء المعيلات منذ عام 2018 تدريباً على إدارة المشاريع ومنحة صغيرة لتأسيس مشروع، يتبعها إرشاد ميداني. وقد قرر مجلس الإدارة في آذار/مارس 2023 تقييم نتائج البرنامج للمستفيدات اللواتي التحقن به في عامي 2021 و2022، وعددهن 1,420 امرأة، قبل تصميم المرحلة القادمة من مسار التمكين الاقتصادي.</w:t>
      </w:r>
    </w:p>
    <w:p>
      <w:r>
        <w:t>ويجيب التقييم عن ثلاثة أسئلة:</w:t>
      </w:r>
    </w:p>
    <w:p>
      <w:pPr>
        <w:pStyle w:val="SanadListItem"/>
        <w:ind w:start="454" w:hanging="340"/>
      </w:pPr>
      <w:r>
        <w:t>1.</w:t>
        <w:tab/>
      </w:r>
      <w:r>
        <w:t>كم من المشاريع التي أسستها المستفيدات ما زال قائماً بعد عام من تأسيسه؟</w:t>
      </w:r>
    </w:p>
    <w:p>
      <w:pPr>
        <w:pStyle w:val="SanadListItem"/>
        <w:ind w:start="454" w:hanging="340"/>
      </w:pPr>
      <w:r>
        <w:t>2.</w:t>
        <w:tab/>
      </w:r>
      <w:r>
        <w:t>هل تغيّر دخل المستفيدات؟</w:t>
      </w:r>
    </w:p>
    <w:p>
      <w:pPr>
        <w:pStyle w:val="SanadListItem"/>
        <w:ind w:start="454" w:hanging="340"/>
      </w:pPr>
      <w:r>
        <w:t>3.</w:t>
        <w:tab/>
      </w:r>
      <w:r>
        <w:t>ما العوامل التي ترتبط باستمرار المشروع أو توقفه؟</w:t>
      </w:r>
    </w:p>
    <w:p>
      <w:r>
        <w:t>أعدّ التقييم خالد مراد (اسم مستعار)، رئيس وحدة الرصد والتقييم، بمشاركة رنا عيسى (اسم مستعار)، مديرة البرنامج، في مرحلة التصميم فقط ضماناً للاستقلالية.</w:t>
      </w:r>
    </w:p>
    <w:p>
      <w:pPr>
        <w:pStyle w:val="Heading2"/>
        <w:pageBreakBefore/>
      </w:pPr>
      <w:r>
        <w:t>المنهجية</w:t>
      </w:r>
    </w:p>
    <w:p>
      <w:r>
        <w:t>بلغ عدد المشاريع التي أسستها مستفيدات عامي 2021 و2022 نحو 930 مشروعاً. وسُحبت منها عينة عشوائية من 450 مشروعاً مضى على تأسيسها 12 شهراً على الأقل، موزعة على المحافظتين بحسب حجم المشاركة في كل منهما.</w:t>
      </w:r>
    </w:p>
    <w:p>
      <w:pPr>
        <w:pStyle w:val="SanadListItem"/>
        <w:ind w:start="454" w:hanging="340"/>
      </w:pPr>
      <w:r>
        <w:t>•</w:t>
        <w:tab/>
      </w:r>
      <w:r>
        <w:rPr>
          <w:rFonts w:ascii="Noto Serif" w:hAnsi="Noto Serif" w:eastAsia="Noto Serif" w:cs="Noto Naskh Arabic"/>
          <w:b w:val="1"/>
          <w:bCs w:val="1"/>
          <w:rtl w:val="1"/>
        </w:rPr>
        <w:t>زيارات ميدانية:</w:t>
      </w:r>
      <w:r>
        <w:t xml:space="preserve"> زار الفريق 310 مشاريع، وتحقق من وجودها ونشاطها بالملاحظة المباشرة.</w:t>
      </w:r>
    </w:p>
    <w:p>
      <w:pPr>
        <w:pStyle w:val="SanadListItem"/>
        <w:ind w:start="454" w:hanging="340"/>
      </w:pPr>
      <w:r>
        <w:t>•</w:t>
        <w:tab/>
      </w:r>
      <w:r>
        <w:rPr>
          <w:rFonts w:ascii="Noto Serif" w:hAnsi="Noto Serif" w:eastAsia="Noto Serif" w:cs="Noto Naskh Arabic"/>
          <w:b w:val="1"/>
          <w:bCs w:val="1"/>
          <w:rtl w:val="1"/>
        </w:rPr>
        <w:t>مقابلات هاتفية:</w:t>
      </w:r>
      <w:r>
        <w:t xml:space="preserve"> أُجريت مع صاحبات 140 مشروعاً في القرى البعيدة.</w:t>
      </w:r>
    </w:p>
    <w:p>
      <w:pPr>
        <w:pStyle w:val="SanadListItem"/>
        <w:ind w:start="454" w:hanging="340"/>
      </w:pPr>
      <w:r>
        <w:t>•</w:t>
        <w:tab/>
      </w:r>
      <w:r>
        <w:rPr>
          <w:rFonts w:ascii="Noto Serif" w:hAnsi="Noto Serif" w:eastAsia="Noto Serif" w:cs="Noto Naskh Arabic"/>
          <w:b w:val="1"/>
          <w:bCs w:val="1"/>
          <w:rtl w:val="1"/>
        </w:rPr>
        <w:t>مجموعات نقاش:</w:t>
      </w:r>
      <w:r>
        <w:t xml:space="preserve"> نُظمت 8 مجموعات نقاش مع مستفيدات استمرت مشاريعهن وأخريات توقفت مشاريعهن.</w:t>
      </w:r>
    </w:p>
    <w:p>
      <w:pPr>
        <w:pStyle w:val="SanadListItem"/>
        <w:ind w:start="454" w:hanging="340"/>
      </w:pPr>
      <w:r>
        <w:t>•</w:t>
        <w:tab/>
      </w:r>
      <w:r>
        <w:rPr>
          <w:rFonts w:ascii="Noto Serif" w:hAnsi="Noto Serif" w:eastAsia="Noto Serif" w:cs="Noto Naskh Arabic"/>
          <w:b w:val="1"/>
          <w:bCs w:val="1"/>
          <w:rtl w:val="1"/>
        </w:rPr>
        <w:t>مراجعة السجلات:</w:t>
      </w:r>
      <w:r>
        <w:t xml:space="preserve"> شملت سجلات المنح ودفاتر المتابعة الشهرية.</w:t>
      </w:r>
    </w:p>
    <w:p>
      <w:pPr>
        <w:pStyle w:val="Heading3"/>
      </w:pPr>
      <w:r>
        <w:t>ضمانات الجودة والخصوصية</w:t>
      </w:r>
    </w:p>
    <w:p>
      <w:r>
        <w:t>لم يشارك في جمع البيانات أي موظف كان مسؤولاً عن متابعة المستفيدات أنفسهن. واستُخدمت رموز تعريفية مثل FAKE-0000-1234 بدلاً من الأسماء في جميع جداول التحليل.</w:t>
      </w:r>
    </w:p>
    <w:p>
      <w:pPr>
        <w:pStyle w:val="Heading3"/>
      </w:pPr>
      <w:r>
        <w:t>حدود التقييم</w:t>
      </w:r>
    </w:p>
    <w:p>
      <w:r>
        <w:t>يعتمد قياس الدخل على إفادة المستفيدات، وقد يتأثر بتقلبات موسمية في بعض الأنشطة كتربية الدواجن.</w:t>
      </w:r>
    </w:p>
    <w:p>
      <w:pPr>
        <w:pStyle w:val="Heading2"/>
        <w:pageBreakBefore/>
      </w:pPr>
      <w:r>
        <w:t>النتائج الرئيسية</w:t>
      </w:r>
    </w:p>
    <w:p>
      <w:pPr>
        <w:pStyle w:val="Heading3"/>
      </w:pPr>
      <w:r>
        <w:t>استمرار المشاريع</w:t>
      </w:r>
    </w:p>
    <w:p>
      <w:r>
        <w:t>تبيّن أن 334 مشروعاً من أصل 450 شملتها العينة ما زالت قائمة بعد 12 شهراً من تأسيسها، أي ما نسبته 74%. وتُعد هذه النسبة جيدة مقارنة بمشاريع صغيرة مماثلة، إذ تتوقف نسبة كبيرة من هذه المشاريع عادة في سنتها الأولى.</w:t>
      </w:r>
    </w:p>
    <w:p>
      <w:pPr>
        <w:pStyle w:val="Heading3"/>
      </w:pPr>
      <w:r>
        <w:t>تغيّر الدخل</w:t>
      </w:r>
    </w:p>
    <w:p>
      <w:r>
        <w:t>ارتفع متوسط الدخل الشهري للمستفيدات من 95 دولاراً أمريكياً قبل الالتحاق بالبرنامج إلى 168 دولاراً أمريكياً بعد عام من تأسيس المشروع، أي بزيادة تقارب 77%. ويشمل هذا المتوسط المستفيدات اللواتي توقفت مشاريعهن.</w:t>
      </w:r>
    </w:p>
    <w:p>
      <w:pPr>
        <w:pStyle w:val="Heading3"/>
      </w:pPr>
      <w:r>
        <w:t>الادخار وإعادة الاستثمار</w:t>
      </w:r>
    </w:p>
    <w:p>
      <w:pPr>
        <w:pStyle w:val="SanadListItem"/>
        <w:ind w:start="454" w:hanging="340"/>
      </w:pPr>
      <w:r>
        <w:t>•</w:t>
        <w:tab/>
      </w:r>
      <w:r>
        <w:t>أعادت 62% من صاحبات المشاريع القائمة استثمار جزء من أرباحهن في المشروع نفسه.</w:t>
      </w:r>
    </w:p>
    <w:p>
      <w:pPr>
        <w:pStyle w:val="SanadListItem"/>
        <w:ind w:start="454" w:hanging="340"/>
      </w:pPr>
      <w:r>
        <w:t>•</w:t>
        <w:tab/>
      </w:r>
      <w:r>
        <w:t>بلغ عدد مجموعات الادخار النسائية النشطة 27 مجموعة، تضم أكثر من 400 عضوة.</w:t>
      </w:r>
    </w:p>
    <w:p>
      <w:pPr>
        <w:pStyle w:val="SanadListItem"/>
        <w:ind w:start="454" w:hanging="340"/>
      </w:pPr>
      <w:r>
        <w:t>•</w:t>
        <w:tab/>
      </w:r>
      <w:r>
        <w:t>أفادت أغلب المشاركات في مجموعات النقاش بأن قرارات الإنفاق في الأسرة صارت أكثر مشاركة.</w:t>
      </w:r>
    </w:p>
    <w:p>
      <w:pPr>
        <w:pStyle w:val="Heading2"/>
        <w:pageBreakBefore/>
      </w:pPr>
      <w:r>
        <w:t>النتائج حسب نوع المشروع</w:t>
      </w:r>
    </w:p>
    <w:tbl>
      <w:tblPr>
        <w:tblStyle w:val="TableGrid"/>
        <w:bidiVisual w:val="1"/>
        <w:tblW w:type="pct" w:w="5000"/>
        <w:tblLook w:firstColumn="1" w:firstRow="1" w:lastColumn="0" w:lastRow="0" w:noHBand="0" w:noVBand="1" w:val="04A0"/>
      </w:tblPr>
      <w:tblGrid>
        <w:gridCol w:w="2409"/>
        <w:gridCol w:w="2409"/>
        <w:gridCol w:w="2409"/>
        <w:gridCol w:w="2409"/>
      </w:tblGrid>
      <w:tr>
        <w:tc>
          <w:tcPr>
            <w:tcW w:type="dxa" w:w="2409"/>
            <w:shd w:val="clear" w:color="auto" w:fill="E3ECEF"/>
          </w:tcPr>
          <w:p>
            <w:pPr>
              <w:pStyle w:val="SanadTableText"/>
            </w:pPr>
            <w:r>
              <w:rPr>
                <w:rFonts w:ascii="Noto Serif" w:hAnsi="Noto Serif" w:eastAsia="Noto Serif" w:cs="Noto Naskh Arabic"/>
                <w:b w:val="1"/>
                <w:bCs w:val="1"/>
                <w:rtl w:val="1"/>
              </w:rPr>
              <w:t>نوع المشروع</w:t>
            </w:r>
          </w:p>
        </w:tc>
        <w:tc>
          <w:tcPr>
            <w:tcW w:type="dxa" w:w="2409"/>
            <w:shd w:val="clear" w:color="auto" w:fill="E3ECEF"/>
          </w:tcPr>
          <w:p>
            <w:pPr>
              <w:pStyle w:val="SanadTableText"/>
            </w:pPr>
            <w:r>
              <w:rPr>
                <w:rFonts w:ascii="Noto Serif" w:hAnsi="Noto Serif" w:eastAsia="Noto Serif" w:cs="Noto Naskh Arabic"/>
                <w:b w:val="1"/>
                <w:bCs w:val="1"/>
                <w:rtl w:val="1"/>
              </w:rPr>
              <w:t>المشاريع في العينة</w:t>
            </w:r>
          </w:p>
        </w:tc>
        <w:tc>
          <w:tcPr>
            <w:tcW w:type="dxa" w:w="2409"/>
            <w:shd w:val="clear" w:color="auto" w:fill="E3ECEF"/>
          </w:tcPr>
          <w:p>
            <w:pPr>
              <w:pStyle w:val="SanadTableText"/>
            </w:pPr>
            <w:r>
              <w:rPr>
                <w:rFonts w:ascii="Noto Serif" w:hAnsi="Noto Serif" w:eastAsia="Noto Serif" w:cs="Noto Naskh Arabic"/>
                <w:b w:val="1"/>
                <w:bCs w:val="1"/>
                <w:rtl w:val="1"/>
              </w:rPr>
              <w:t>القائمة بعد 12 شهراً</w:t>
            </w:r>
          </w:p>
        </w:tc>
        <w:tc>
          <w:tcPr>
            <w:tcW w:type="dxa" w:w="2409"/>
            <w:shd w:val="clear" w:color="auto" w:fill="E3ECEF"/>
          </w:tcPr>
          <w:p>
            <w:pPr>
              <w:pStyle w:val="SanadTableText"/>
            </w:pPr>
            <w:r>
              <w:rPr>
                <w:rFonts w:ascii="Noto Serif" w:hAnsi="Noto Serif" w:eastAsia="Noto Serif" w:cs="Noto Naskh Arabic"/>
                <w:b w:val="1"/>
                <w:bCs w:val="1"/>
                <w:rtl w:val="1"/>
              </w:rPr>
              <w:t>نسبة الاستمرار</w:t>
            </w:r>
          </w:p>
        </w:tc>
      </w:tr>
      <w:tr>
        <w:tc>
          <w:tcPr>
            <w:tcW w:type="dxa" w:w="2409"/>
          </w:tcPr>
          <w:p>
            <w:pPr>
              <w:pStyle w:val="SanadTableText"/>
            </w:pPr>
            <w:r>
              <w:t>تصنيع الأغذية المنزلية</w:t>
            </w:r>
          </w:p>
        </w:tc>
        <w:tc>
          <w:tcPr>
            <w:tcW w:type="dxa" w:w="2409"/>
          </w:tcPr>
          <w:p>
            <w:pPr>
              <w:pStyle w:val="SanadTableText"/>
            </w:pPr>
            <w:r>
              <w:t>140</w:t>
            </w:r>
          </w:p>
        </w:tc>
        <w:tc>
          <w:tcPr>
            <w:tcW w:type="dxa" w:w="2409"/>
          </w:tcPr>
          <w:p>
            <w:pPr>
              <w:pStyle w:val="SanadTableText"/>
            </w:pPr>
            <w:r>
              <w:t>113</w:t>
            </w:r>
          </w:p>
        </w:tc>
        <w:tc>
          <w:tcPr>
            <w:tcW w:type="dxa" w:w="2409"/>
          </w:tcPr>
          <w:p>
            <w:pPr>
              <w:pStyle w:val="SanadTableText"/>
            </w:pPr>
            <w:r>
              <w:t>81%</w:t>
            </w:r>
          </w:p>
        </w:tc>
      </w:tr>
      <w:tr>
        <w:tc>
          <w:tcPr>
            <w:tcW w:type="dxa" w:w="2409"/>
          </w:tcPr>
          <w:p>
            <w:pPr>
              <w:pStyle w:val="SanadTableText"/>
            </w:pPr>
            <w:r>
              <w:t>الخياطة والتطريز</w:t>
            </w:r>
          </w:p>
        </w:tc>
        <w:tc>
          <w:tcPr>
            <w:tcW w:type="dxa" w:w="2409"/>
          </w:tcPr>
          <w:p>
            <w:pPr>
              <w:pStyle w:val="SanadTableText"/>
            </w:pPr>
            <w:r>
              <w:t>110</w:t>
            </w:r>
          </w:p>
        </w:tc>
        <w:tc>
          <w:tcPr>
            <w:tcW w:type="dxa" w:w="2409"/>
          </w:tcPr>
          <w:p>
            <w:pPr>
              <w:pStyle w:val="SanadTableText"/>
            </w:pPr>
            <w:r>
              <w:t>84</w:t>
            </w:r>
          </w:p>
        </w:tc>
        <w:tc>
          <w:tcPr>
            <w:tcW w:type="dxa" w:w="2409"/>
          </w:tcPr>
          <w:p>
            <w:pPr>
              <w:pStyle w:val="SanadTableText"/>
            </w:pPr>
            <w:r>
              <w:t>76%</w:t>
            </w:r>
          </w:p>
        </w:tc>
      </w:tr>
      <w:tr>
        <w:tc>
          <w:tcPr>
            <w:tcW w:type="dxa" w:w="2409"/>
          </w:tcPr>
          <w:p>
            <w:pPr>
              <w:pStyle w:val="SanadTableText"/>
            </w:pPr>
            <w:r>
              <w:t>بيع المواد الغذائية بالتجزئة</w:t>
            </w:r>
          </w:p>
        </w:tc>
        <w:tc>
          <w:tcPr>
            <w:tcW w:type="dxa" w:w="2409"/>
          </w:tcPr>
          <w:p>
            <w:pPr>
              <w:pStyle w:val="SanadTableText"/>
            </w:pPr>
            <w:r>
              <w:t>110</w:t>
            </w:r>
          </w:p>
        </w:tc>
        <w:tc>
          <w:tcPr>
            <w:tcW w:type="dxa" w:w="2409"/>
          </w:tcPr>
          <w:p>
            <w:pPr>
              <w:pStyle w:val="SanadTableText"/>
            </w:pPr>
            <w:r>
              <w:t>79</w:t>
            </w:r>
          </w:p>
        </w:tc>
        <w:tc>
          <w:tcPr>
            <w:tcW w:type="dxa" w:w="2409"/>
          </w:tcPr>
          <w:p>
            <w:pPr>
              <w:pStyle w:val="SanadTableText"/>
            </w:pPr>
            <w:r>
              <w:t>72%</w:t>
            </w:r>
          </w:p>
        </w:tc>
      </w:tr>
      <w:tr>
        <w:tc>
          <w:tcPr>
            <w:tcW w:type="dxa" w:w="2409"/>
          </w:tcPr>
          <w:p>
            <w:pPr>
              <w:pStyle w:val="SanadTableText"/>
            </w:pPr>
            <w:r>
              <w:t>تربية الدواجن</w:t>
            </w:r>
          </w:p>
        </w:tc>
        <w:tc>
          <w:tcPr>
            <w:tcW w:type="dxa" w:w="2409"/>
          </w:tcPr>
          <w:p>
            <w:pPr>
              <w:pStyle w:val="SanadTableText"/>
            </w:pPr>
            <w:r>
              <w:t>90</w:t>
            </w:r>
          </w:p>
        </w:tc>
        <w:tc>
          <w:tcPr>
            <w:tcW w:type="dxa" w:w="2409"/>
          </w:tcPr>
          <w:p>
            <w:pPr>
              <w:pStyle w:val="SanadTableText"/>
            </w:pPr>
            <w:r>
              <w:t>58</w:t>
            </w:r>
          </w:p>
        </w:tc>
        <w:tc>
          <w:tcPr>
            <w:tcW w:type="dxa" w:w="2409"/>
          </w:tcPr>
          <w:p>
            <w:pPr>
              <w:pStyle w:val="SanadTableText"/>
            </w:pPr>
            <w:r>
              <w:t>64%</w:t>
            </w:r>
          </w:p>
        </w:tc>
      </w:tr>
      <w:tr>
        <w:tc>
          <w:tcPr>
            <w:tcW w:type="dxa" w:w="2409"/>
          </w:tcPr>
          <w:p>
            <w:pPr>
              <w:pStyle w:val="SanadTableText"/>
            </w:pPr>
            <w:r>
              <w:rPr>
                <w:rFonts w:ascii="Noto Serif" w:hAnsi="Noto Serif" w:eastAsia="Noto Serif" w:cs="Noto Naskh Arabic"/>
                <w:b w:val="1"/>
                <w:bCs w:val="1"/>
                <w:rtl w:val="1"/>
              </w:rPr>
              <w:t>المجموع</w:t>
            </w:r>
          </w:p>
        </w:tc>
        <w:tc>
          <w:tcPr>
            <w:tcW w:type="dxa" w:w="2409"/>
          </w:tcPr>
          <w:p>
            <w:pPr>
              <w:pStyle w:val="SanadTableText"/>
            </w:pPr>
            <w:r>
              <w:rPr>
                <w:rFonts w:ascii="Noto Serif" w:hAnsi="Noto Serif" w:eastAsia="Noto Serif" w:cs="Noto Naskh Arabic"/>
                <w:b w:val="1"/>
                <w:bCs w:val="1"/>
                <w:rtl w:val="1"/>
              </w:rPr>
              <w:t>450</w:t>
            </w:r>
          </w:p>
        </w:tc>
        <w:tc>
          <w:tcPr>
            <w:tcW w:type="dxa" w:w="2409"/>
          </w:tcPr>
          <w:p>
            <w:pPr>
              <w:pStyle w:val="SanadTableText"/>
            </w:pPr>
            <w:r>
              <w:rPr>
                <w:rFonts w:ascii="Noto Serif" w:hAnsi="Noto Serif" w:eastAsia="Noto Serif" w:cs="Noto Naskh Arabic"/>
                <w:b w:val="1"/>
                <w:bCs w:val="1"/>
                <w:rtl w:val="1"/>
              </w:rPr>
              <w:t>334</w:t>
            </w:r>
          </w:p>
        </w:tc>
        <w:tc>
          <w:tcPr>
            <w:tcW w:type="dxa" w:w="2409"/>
          </w:tcPr>
          <w:p>
            <w:pPr>
              <w:pStyle w:val="SanadTableText"/>
            </w:pPr>
            <w:r>
              <w:rPr>
                <w:rFonts w:ascii="Noto Serif" w:hAnsi="Noto Serif" w:eastAsia="Noto Serif" w:cs="Noto Naskh Arabic"/>
                <w:b w:val="1"/>
                <w:bCs w:val="1"/>
                <w:rtl w:val="1"/>
              </w:rPr>
              <w:t>74%</w:t>
            </w:r>
          </w:p>
        </w:tc>
      </w:tr>
    </w:tbl>
    <w:p>
      <w:pPr>
        <w:pStyle w:val="Heading3"/>
        <w:spacing w:before="160"/>
      </w:pPr>
      <w:r>
        <w:t>لماذا تتوقف المشاريع؟</w:t>
      </w:r>
    </w:p>
    <w:p>
      <w:r>
        <w:t>ذكرت المستفيدات اللواتي توقفت مشاريعهن ثلاثة أسباب رئيسية: ارتفاع كلفة المواد الخام، ونفوق الدواجن بسبب الأمراض أو البرد، وصعوبة البيع خارج القرية. كما ارتبط التوقف بغياب المستفيدة عن جلسات الإرشاد في الأشهر الثلاثة الأولى.</w:t>
      </w:r>
    </w:p>
    <w:p>
      <w:pPr>
        <w:pStyle w:val="Heading2"/>
        <w:pageBreakBefore/>
      </w:pPr>
      <w:r>
        <w:t>التوصيات</w:t>
      </w:r>
    </w:p>
    <w:p>
      <w:pPr>
        <w:pStyle w:val="SanadListItem"/>
        <w:ind w:start="454" w:hanging="340"/>
      </w:pPr>
      <w:r>
        <w:t>1.</w:t>
        <w:tab/>
      </w:r>
      <w:r>
        <w:rPr>
          <w:rFonts w:ascii="Noto Serif" w:hAnsi="Noto Serif" w:eastAsia="Noto Serif" w:cs="Noto Naskh Arabic"/>
          <w:b w:val="1"/>
          <w:bCs w:val="1"/>
          <w:rtl w:val="1"/>
        </w:rPr>
        <w:t>ربط المستفيدات بأسواق أوسع</w:t>
      </w:r>
      <w:r>
        <w:t xml:space="preserve"> عبر معارض دورية في مراكز المحافظات، والتعاون مع متاجر محلية تقبل منتجاتهن.</w:t>
      </w:r>
    </w:p>
    <w:p>
      <w:pPr>
        <w:pStyle w:val="SanadListItem"/>
        <w:ind w:start="454" w:hanging="340"/>
      </w:pPr>
      <w:r>
        <w:t>2.</w:t>
        <w:tab/>
      </w:r>
      <w:r>
        <w:rPr>
          <w:rFonts w:ascii="Noto Serif" w:hAnsi="Noto Serif" w:eastAsia="Noto Serif" w:cs="Noto Naskh Arabic"/>
          <w:b w:val="1"/>
          <w:bCs w:val="1"/>
          <w:rtl w:val="1"/>
        </w:rPr>
        <w:t>تقديم منحة ثانية صغيرة</w:t>
      </w:r>
      <w:r>
        <w:t xml:space="preserve"> للمشاريع التي تستمر عاماً كاملاً، لمساعدتها على التوسع.</w:t>
      </w:r>
    </w:p>
    <w:p>
      <w:pPr>
        <w:pStyle w:val="SanadListItem"/>
        <w:ind w:start="454" w:hanging="340"/>
      </w:pPr>
      <w:r>
        <w:t>3.</w:t>
        <w:tab/>
      </w:r>
      <w:r>
        <w:rPr>
          <w:rFonts w:ascii="Noto Serif" w:hAnsi="Noto Serif" w:eastAsia="Noto Serif" w:cs="Noto Naskh Arabic"/>
          <w:b w:val="1"/>
          <w:bCs w:val="1"/>
          <w:rtl w:val="1"/>
        </w:rPr>
        <w:t>دعم مشاريع تربية الدواجن بالتحصين البيطري</w:t>
      </w:r>
      <w:r>
        <w:t xml:space="preserve"> والتدريب على الوقاية من أمراض الشتاء، أو توجيه المستفيدات إلى أنشطة أقل خطورة.</w:t>
      </w:r>
    </w:p>
    <w:p>
      <w:pPr>
        <w:pStyle w:val="SanadListItem"/>
        <w:ind w:start="454" w:hanging="340"/>
      </w:pPr>
      <w:r>
        <w:t>4.</w:t>
        <w:tab/>
      </w:r>
      <w:r>
        <w:rPr>
          <w:rFonts w:ascii="Noto Serif" w:hAnsi="Noto Serif" w:eastAsia="Noto Serif" w:cs="Noto Naskh Arabic"/>
          <w:b w:val="1"/>
          <w:bCs w:val="1"/>
          <w:rtl w:val="1"/>
        </w:rPr>
        <w:t>التركيز على الأشهر الثلاثة الأولى</w:t>
      </w:r>
      <w:r>
        <w:t xml:space="preserve"> بزيارات إرشاد أسبوعية بدلاً من الزيارات الشهرية.</w:t>
      </w:r>
    </w:p>
    <w:p>
      <w:pPr>
        <w:pStyle w:val="SanadListItem"/>
        <w:ind w:start="454" w:hanging="340"/>
      </w:pPr>
      <w:r>
        <w:t>5.</w:t>
        <w:tab/>
      </w:r>
      <w:r>
        <w:rPr>
          <w:rFonts w:ascii="Noto Serif" w:hAnsi="Noto Serif" w:eastAsia="Noto Serif" w:cs="Noto Naskh Arabic"/>
          <w:b w:val="1"/>
          <w:bCs w:val="1"/>
          <w:rtl w:val="1"/>
        </w:rPr>
        <w:t>دمج البرنامج في مسار التمكين الاقتصادي</w:t>
      </w:r>
      <w:r>
        <w:t xml:space="preserve"> الذي يجمعه ببرنامج تمكين الشباب، مع الحفاظ على الأولوية للنساء المعيلات.</w:t>
      </w:r>
    </w:p>
    <w:p>
      <w:r>
        <w:t>سيُعرض هذا التقييم على مجلس الإدارة في اجتماعه الأخير لعام 2023.</w:t>
      </w:r>
    </w:p>
    <w:sectPr w:rsidR="00FC693F" w:rsidRPr="0006063C" w:rsidSect="00034616">
      <w:pgSz w:w="11906" w:h="16838"/>
      <w:pgMar w:top="1134" w:right="1134" w:bottom="1134" w:left="1134" w:header="567" w:footer="567" w:gutter="0"/>
      <w:cols w:space="720"/>
      <w:bidi w:val="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oto Serif" w:hAnsi="Noto Serif" w:eastAsia="Noto Serif" w:cs="Noto Naskh Arabic"/>
        <w:sz w:val="24"/>
        <w:szCs w:val="24"/>
        <w:rtl w:val="1"/>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spacing w:after="120" w:line="276" w:lineRule="auto"/>
    </w:pPr>
    <w:rPr>
      <w:rFonts w:ascii="Noto Serif" w:hAnsi="Noto Serif" w:eastAsia="Noto Serif" w:cs="Noto Naskh Arabic"/>
      <w:sz w:val="24"/>
      <w:szCs w:val="24"/>
      <w:rtl w:val="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20"/>
      <w:outlineLvl w:val="0"/>
    </w:pPr>
    <w:rPr>
      <w:rFonts w:ascii="Noto Serif" w:hAnsi="Noto Serif" w:eastAsia="Noto Serif" w:cs="Noto Naskh Arabic"/>
      <w:b w:val="1"/>
      <w:bCs w:val="1"/>
      <w:color w:val="1F4E5F"/>
      <w:sz w:val="40"/>
      <w:szCs w:val="40"/>
      <w:rtl w:val="1"/>
    </w:rPr>
  </w:style>
  <w:style w:type="paragraph" w:styleId="Heading2">
    <w:name w:val="heading 2"/>
    <w:basedOn w:val="Normal"/>
    <w:next w:val="Normal"/>
    <w:link w:val="Heading2Char"/>
    <w:uiPriority w:val="9"/>
    <w:unhideWhenUsed/>
    <w:qFormat/>
    <w:rsid w:val="00FC693F"/>
    <w:pPr>
      <w:keepNext/>
      <w:keepLines/>
      <w:bidi w:val="1"/>
      <w:spacing w:before="200" w:after="120"/>
      <w:outlineLvl w:val="1"/>
    </w:pPr>
    <w:rPr>
      <w:rFonts w:ascii="Noto Serif" w:hAnsi="Noto Serif" w:eastAsia="Noto Serif" w:cs="Noto Naskh Arabic"/>
      <w:b w:val="1"/>
      <w:bCs w:val="1"/>
      <w:color w:val="1F4E5F"/>
      <w:sz w:val="30"/>
      <w:szCs w:val="30"/>
      <w:rtl w:val="1"/>
    </w:rPr>
  </w:style>
  <w:style w:type="paragraph" w:styleId="Heading3">
    <w:name w:val="heading 3"/>
    <w:basedOn w:val="Normal"/>
    <w:next w:val="Normal"/>
    <w:link w:val="Heading3Char"/>
    <w:uiPriority w:val="9"/>
    <w:unhideWhenUsed/>
    <w:qFormat/>
    <w:rsid w:val="00FC693F"/>
    <w:pPr>
      <w:keepNext/>
      <w:keepLines/>
      <w:bidi w:val="1"/>
      <w:spacing w:before="200" w:after="120"/>
      <w:outlineLvl w:val="2"/>
    </w:pPr>
    <w:rPr>
      <w:rFonts w:ascii="Noto Serif" w:hAnsi="Noto Serif" w:eastAsia="Noto Serif" w:cs="Noto Naskh Arabic"/>
      <w:b w:val="1"/>
      <w:bCs w:val="1"/>
      <w:color w:val="1F4E5F"/>
      <w:sz w:val="26"/>
      <w:szCs w:val="26"/>
      <w:rtl w:val="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nadTableText">
    <w:name w:val="Sanad Table Text"/>
    <w:basedOn w:val="Normal"/>
    <w:pPr>
      <w:spacing w:after="0" w:line="240" w:lineRule="auto"/>
    </w:pPr>
    <w:rPr>
      <w:rFonts w:ascii="Noto Serif" w:hAnsi="Noto Serif" w:eastAsia="Noto Serif" w:cs="Noto Naskh Arabic"/>
      <w:sz w:val="21"/>
      <w:szCs w:val="21"/>
      <w:rtl w:val="1"/>
    </w:rPr>
  </w:style>
  <w:style w:type="paragraph" w:customStyle="1" w:styleId="SanadNotice">
    <w:name w:val="Sanad Notice"/>
    <w:basedOn w:val="Normal"/>
    <w:pPr>
      <w:pBdr>
        <w:right w:val="single" w:sz="18" w:space="6" w:color="B08D57"/>
      </w:pBdr>
      <w:shd w:val="clear" w:color="auto" w:fill="F6F1E7"/>
    </w:pPr>
    <w:rPr>
      <w:rFonts w:ascii="Noto Serif" w:hAnsi="Noto Serif" w:eastAsia="Noto Serif" w:cs="Noto Naskh Arabic"/>
      <w:sz w:val="21"/>
      <w:szCs w:val="21"/>
      <w:rtl w:val="1"/>
    </w:rPr>
  </w:style>
  <w:style w:type="paragraph" w:customStyle="1" w:styleId="SanadListItem">
    <w:name w:val="Sanad List Item"/>
    <w:basedOn w:val="Normal"/>
    <w:pPr>
      <w:spacing w:after="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التقييم الداخلي لبرنامج سُبل العيش للنساء المعيلات (مستفيدات 2021–2022)</dc:title>
  <dc:subject>Internal Evaluation of the Livelihoods Programme for Women Heads of Household (2021–2022 Participants)</dc:subject>
  <dc:creator>Al-Rayhan Development Foundation (synthetic)</dc:creator>
  <cp:keywords>synthetic demo corpus</cp:keywords>
  <dc:description>Synthetic demo corpus. The organisation, donors, evaluators, places, people and figures are all fictional.</dc:description>
  <cp:lastModifiedBy>Al-Rayhan Development Foundation (synthetic)</cp:lastModifiedBy>
  <cp:revision>1</cp:revision>
  <dcterms:created xsi:type="dcterms:W3CDTF">2026-10-24T00:00:00Z</dcterms:created>
  <dcterms:modified xsi:type="dcterms:W3CDTF">2026-10-24T00:00:00Z</dcterms:modified>
  <cp:category>evaluation</cp:category>
  <cp:lastPrinted>2026-10-24T00:00:00Z</cp:lastPrinted>
  <dc:language>ar-SA</dc:language>
</cp:coreProperties>
</file>