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اتفاقية منحة</w:t>
      </w:r>
    </w:p>
    <w:p>
      <w:pPr>
        <w:pStyle w:val="Heading2"/>
      </w:pPr>
      <w:r>
        <w:t>المشروع SPC-2023-01: الدعم النقدي الشهري للأسر الأشد فقراً</w:t>
      </w:r>
    </w:p>
    <w:p>
      <w:pPr>
        <w:pStyle w:val="SanadNotice"/>
      </w:pPr>
      <w:r>
        <w:t>وثيقة مُصطنعة لأغراض العرض والاختبار؛ جميع الأسماء والأرقام والجهات الواردة فيها خيالية.</w:t>
      </w:r>
    </w:p>
    <w:tbl>
      <w:tblPr>
        <w:tblStyle w:val="TableGrid"/>
        <w:bidiVisual w:val="1"/>
        <w:tblW w:type="pct" w:w="5000"/>
        <w:tblLook w:firstColumn="1" w:firstRow="1" w:lastColumn="0" w:lastRow="0" w:noHBand="0" w:noVBand="1" w:val="04A0"/>
      </w:tblPr>
      <w:tblGrid>
        <w:gridCol w:w="4819"/>
        <w:gridCol w:w="4819"/>
      </w:tblGrid>
      <w:tr>
        <w:tc>
          <w:tcPr>
            <w:tcW w:type="dxa" w:w="4819"/>
            <w:shd w:val="clear" w:color="auto" w:fill="E3ECEF"/>
          </w:tcPr>
          <w:p>
            <w:pPr>
              <w:pStyle w:val="SanadTableText"/>
            </w:pPr>
            <w:r>
              <w:rPr>
                <w:rFonts w:ascii="Noto Serif" w:hAnsi="Noto Serif" w:eastAsia="Noto Serif" w:cs="Noto Naskh Arabic"/>
                <w:b w:val="1"/>
                <w:bCs w:val="1"/>
                <w:rtl w:val="1"/>
              </w:rPr>
              <w:t>البيان</w:t>
            </w:r>
          </w:p>
        </w:tc>
        <w:tc>
          <w:tcPr>
            <w:tcW w:type="dxa" w:w="4819"/>
            <w:shd w:val="clear" w:color="auto" w:fill="E3ECEF"/>
          </w:tcPr>
          <w:p>
            <w:pPr>
              <w:pStyle w:val="SanadTableText"/>
            </w:pPr>
            <w:r>
              <w:rPr>
                <w:rFonts w:ascii="Noto Serif" w:hAnsi="Noto Serif" w:eastAsia="Noto Serif" w:cs="Noto Naskh Arabic"/>
                <w:b w:val="1"/>
                <w:bCs w:val="1"/>
                <w:rtl w:val="1"/>
              </w:rPr>
              <w:t>التفاصيل</w:t>
            </w:r>
          </w:p>
        </w:tc>
      </w:tr>
      <w:tr>
        <w:tc>
          <w:tcPr>
            <w:tcW w:type="dxa" w:w="4819"/>
          </w:tcPr>
          <w:p>
            <w:pPr>
              <w:pStyle w:val="SanadTableText"/>
            </w:pPr>
            <w:r>
              <w:t>رقم الاتفاقية</w:t>
            </w:r>
          </w:p>
        </w:tc>
        <w:tc>
          <w:tcPr>
            <w:tcW w:type="dxa" w:w="4819"/>
          </w:tcPr>
          <w:p>
            <w:pPr>
              <w:pStyle w:val="SanadTableText"/>
            </w:pPr>
            <w:r>
              <w:t>FAKE-TADF-2023-044</w:t>
            </w:r>
          </w:p>
        </w:tc>
      </w:tr>
      <w:tr>
        <w:tc>
          <w:tcPr>
            <w:tcW w:type="dxa" w:w="4819"/>
          </w:tcPr>
          <w:p>
            <w:pPr>
              <w:pStyle w:val="SanadTableText"/>
            </w:pPr>
            <w:r>
              <w:t>الجهة المانحة</w:t>
            </w:r>
          </w:p>
        </w:tc>
        <w:tc>
          <w:tcPr>
            <w:tcW w:type="dxa" w:w="4819"/>
          </w:tcPr>
          <w:p>
            <w:pPr>
              <w:pStyle w:val="SanadTableText"/>
            </w:pPr>
            <w:r>
              <w:t>صندوق تلال العنبر للتنمية («الصندوق»)</w:t>
            </w:r>
          </w:p>
        </w:tc>
      </w:tr>
      <w:tr>
        <w:tc>
          <w:tcPr>
            <w:tcW w:type="dxa" w:w="4819"/>
          </w:tcPr>
          <w:p>
            <w:pPr>
              <w:pStyle w:val="SanadTableText"/>
            </w:pPr>
            <w:r>
              <w:t>الجهة المنفذة</w:t>
            </w:r>
          </w:p>
        </w:tc>
        <w:tc>
          <w:tcPr>
            <w:tcW w:type="dxa" w:w="4819"/>
          </w:tcPr>
          <w:p>
            <w:pPr>
              <w:pStyle w:val="SanadTableText"/>
            </w:pPr>
            <w:r>
              <w:t>مؤسسة الريحان للتنمية («المؤسسة»)</w:t>
            </w:r>
          </w:p>
        </w:tc>
      </w:tr>
      <w:tr>
        <w:tc>
          <w:tcPr>
            <w:tcW w:type="dxa" w:w="4819"/>
          </w:tcPr>
          <w:p>
            <w:pPr>
              <w:pStyle w:val="SanadTableText"/>
            </w:pPr>
            <w:r>
              <w:t>تاريخ التوقيع</w:t>
            </w:r>
          </w:p>
        </w:tc>
        <w:tc>
          <w:tcPr>
            <w:tcW w:type="dxa" w:w="4819"/>
          </w:tcPr>
          <w:p>
            <w:pPr>
              <w:pStyle w:val="SanadTableText"/>
            </w:pPr>
            <w:r>
              <w:t>25 نيسان/أبريل 2023</w:t>
            </w:r>
          </w:p>
        </w:tc>
      </w:tr>
      <w:tr>
        <w:tc>
          <w:tcPr>
            <w:tcW w:type="dxa" w:w="4819"/>
          </w:tcPr>
          <w:p>
            <w:pPr>
              <w:pStyle w:val="SanadTableText"/>
            </w:pPr>
            <w:r>
              <w:t>مدة المشروع</w:t>
            </w:r>
          </w:p>
        </w:tc>
        <w:tc>
          <w:tcPr>
            <w:tcW w:type="dxa" w:w="4819"/>
          </w:tcPr>
          <w:p>
            <w:pPr>
              <w:pStyle w:val="SanadTableText"/>
            </w:pPr>
            <w:r>
              <w:t>24 شهراً، من 1 أيار/مايو 2023 إلى 30 نيسان/أبريل 2025</w:t>
            </w:r>
          </w:p>
        </w:tc>
      </w:tr>
      <w:tr>
        <w:tc>
          <w:tcPr>
            <w:tcW w:type="dxa" w:w="4819"/>
          </w:tcPr>
          <w:p>
            <w:pPr>
              <w:pStyle w:val="SanadTableText"/>
            </w:pPr>
            <w:r>
              <w:t>قيمة المنحة</w:t>
            </w:r>
          </w:p>
        </w:tc>
        <w:tc>
          <w:tcPr>
            <w:tcW w:type="dxa" w:w="4819"/>
          </w:tcPr>
          <w:p>
            <w:pPr>
              <w:pStyle w:val="SanadTableText"/>
            </w:pPr>
            <w:r>
              <w:t>1,400,000 دولار أمريكي</w:t>
            </w:r>
          </w:p>
        </w:tc>
      </w:tr>
    </w:tbl>
    <w:p>
      <w:pPr>
        <w:pStyle w:val="Heading2"/>
        <w:spacing w:before="160"/>
      </w:pPr>
      <w:r>
        <w:t>تمهيد</w:t>
      </w:r>
    </w:p>
    <w:p>
      <w:r>
        <w:t>قدمت المؤسسة منذ عام 2020 دعماً نقدياً طارئاً وموسمياً لآلاف الأسر في محافظتي مرج الزعفران والسنابل. وأظهرت التجربة أن الدفعات الموسمية تخفف الضائقة مؤقتاً، لكنها لا تتيح للأسر التخطيط أو سداد ديونها أو إبقاء أطفالها في المدرسة. ولذلك يتفق الطرفان على تمويل دعم نقدي شهري منتظم وفق معايير استهداف معلنة، مقترن بالإحالة إلى خدمات التمكين الاقتصادي.</w:t>
      </w:r>
    </w:p>
    <w:p>
      <w:pPr>
        <w:pStyle w:val="Heading2"/>
        <w:pageBreakBefore/>
      </w:pPr>
      <w:r>
        <w:t>المادة 1: الفئة المستهدفة ومعايير الأهلية</w:t>
      </w:r>
    </w:p>
    <w:p>
      <w:pPr>
        <w:pStyle w:val="SanadListItem"/>
        <w:ind w:start="454" w:hanging="340"/>
      </w:pPr>
      <w:r>
        <w:t>1.</w:t>
        <w:tab/>
      </w:r>
      <w:r>
        <w:t>يستهدف المشروع 2,600 أسرة من الأسر الأشد فقراً في محافظتي مرج الزعفران والسنابل، تُدرج على دفعات متتالية خلال مدة المشروع.</w:t>
      </w:r>
    </w:p>
    <w:p>
      <w:pPr>
        <w:pStyle w:val="SanadListItem"/>
        <w:ind w:start="454" w:hanging="340"/>
      </w:pPr>
      <w:r>
        <w:t>2.</w:t>
        <w:tab/>
      </w:r>
      <w:r>
        <w:t>تُحدد الأهلية بزيارة منزلية يُطبق فيها نموذج موحد لتقييم الاحتياج، يشمل الدخل والإنفاق والسكن وعدد المعالين ووجود أشخاص ذوي إعاقة أو أمراض مزمنة.</w:t>
      </w:r>
    </w:p>
    <w:p>
      <w:pPr>
        <w:pStyle w:val="SanadListItem"/>
        <w:ind w:start="454" w:hanging="340"/>
      </w:pPr>
      <w:r>
        <w:t>3.</w:t>
        <w:tab/>
      </w:r>
      <w:r>
        <w:t>تتحقق لجنة محلية من قوائم الأسر المؤهلة قبل اعتمادها، وتضم ممثلين عن المجلس المحلي والمؤسسة وامرأتين على الأقل من المجتمع.</w:t>
      </w:r>
    </w:p>
    <w:p>
      <w:pPr>
        <w:pStyle w:val="SanadListItem"/>
        <w:ind w:start="454" w:hanging="340"/>
      </w:pPr>
      <w:r>
        <w:t>4.</w:t>
        <w:tab/>
      </w:r>
      <w:r>
        <w:t>تُعطى الأولوية للأسر التي تعيلها نساء، والأسر التي تضم أطفالاً دون الخامسة أو كبار سن أو أشخاصاً ذوي إعاقة.</w:t>
      </w:r>
    </w:p>
    <w:p>
      <w:pPr>
        <w:pStyle w:val="Heading2"/>
      </w:pPr>
      <w:r>
        <w:t>المادة 2: قيمة الدعم وطريقة صرفه</w:t>
      </w:r>
    </w:p>
    <w:p>
      <w:pPr>
        <w:pStyle w:val="SanadListItem"/>
        <w:ind w:start="454" w:hanging="340"/>
      </w:pPr>
      <w:r>
        <w:t>1.</w:t>
        <w:tab/>
      </w:r>
      <w:r>
        <w:t>تتلقى كل أسرة مؤهلة دفعة شهرية قدرها 75 دولاراً أمريكياً لمدة ستة أشهر متتالية.</w:t>
      </w:r>
    </w:p>
    <w:p>
      <w:pPr>
        <w:pStyle w:val="SanadListItem"/>
        <w:ind w:start="454" w:hanging="340"/>
      </w:pPr>
      <w:r>
        <w:t>2.</w:t>
        <w:tab/>
      </w:r>
      <w:r>
        <w:t>تُصرف الدفعات عبر وكلاء دفع معتمدين في كل محافظة، وتتسلمها ربة الأسرة أو ربها بعد التحقق من الهوية.</w:t>
      </w:r>
    </w:p>
    <w:p>
      <w:pPr>
        <w:pStyle w:val="SanadListItem"/>
        <w:ind w:start="454" w:hanging="340"/>
      </w:pPr>
      <w:r>
        <w:t>3.</w:t>
        <w:tab/>
      </w:r>
      <w:r>
        <w:t>تُبلّغ كل أسرة كتابياً بقيمة الدعم ومدته ومواعيد صرفه وطريقة تقديم الشكاوى.</w:t>
      </w:r>
    </w:p>
    <w:p>
      <w:pPr>
        <w:pStyle w:val="Heading2"/>
        <w:pageBreakBefore/>
      </w:pPr>
      <w:r>
        <w:t>المادة 3: موازنة المشروع</w:t>
      </w:r>
    </w:p>
    <w:tbl>
      <w:tblPr>
        <w:tblStyle w:val="TableGrid"/>
        <w:bidiVisual w:val="1"/>
        <w:tblW w:type="pct" w:w="5000"/>
        <w:tblLook w:firstColumn="1" w:firstRow="1" w:lastColumn="0" w:lastRow="0" w:noHBand="0" w:noVBand="1" w:val="04A0"/>
      </w:tblPr>
      <w:tblGrid>
        <w:gridCol w:w="4819"/>
        <w:gridCol w:w="4819"/>
      </w:tblGrid>
      <w:tr>
        <w:tc>
          <w:tcPr>
            <w:tcW w:type="dxa" w:w="4819"/>
            <w:shd w:val="clear" w:color="auto" w:fill="E3ECEF"/>
          </w:tcPr>
          <w:p>
            <w:pPr>
              <w:pStyle w:val="SanadTableText"/>
            </w:pPr>
            <w:r>
              <w:rPr>
                <w:rFonts w:ascii="Noto Serif" w:hAnsi="Noto Serif" w:eastAsia="Noto Serif" w:cs="Noto Naskh Arabic"/>
                <w:b w:val="1"/>
                <w:bCs w:val="1"/>
                <w:rtl w:val="1"/>
              </w:rPr>
              <w:t>البند</w:t>
            </w:r>
          </w:p>
        </w:tc>
        <w:tc>
          <w:tcPr>
            <w:tcW w:type="dxa" w:w="4819"/>
            <w:shd w:val="clear" w:color="auto" w:fill="E3ECEF"/>
          </w:tcPr>
          <w:p>
            <w:pPr>
              <w:pStyle w:val="SanadTableText"/>
            </w:pPr>
            <w:r>
              <w:rPr>
                <w:rFonts w:ascii="Noto Serif" w:hAnsi="Noto Serif" w:eastAsia="Noto Serif" w:cs="Noto Naskh Arabic"/>
                <w:b w:val="1"/>
                <w:bCs w:val="1"/>
                <w:rtl w:val="1"/>
              </w:rPr>
              <w:t>المبلغ (دولار أمريكي)</w:t>
            </w:r>
          </w:p>
        </w:tc>
      </w:tr>
      <w:tr>
        <w:tc>
          <w:tcPr>
            <w:tcW w:type="dxa" w:w="4819"/>
          </w:tcPr>
          <w:p>
            <w:pPr>
              <w:pStyle w:val="SanadTableText"/>
            </w:pPr>
            <w:r>
              <w:t>التحويلات النقدية للأسر (2,600 أسرة × 75 دولاراً × 6 أشهر)</w:t>
            </w:r>
          </w:p>
        </w:tc>
        <w:tc>
          <w:tcPr>
            <w:tcW w:type="dxa" w:w="4819"/>
          </w:tcPr>
          <w:p>
            <w:pPr>
              <w:pStyle w:val="SanadTableText"/>
            </w:pPr>
            <w:r>
              <w:t>1,170,000</w:t>
            </w:r>
          </w:p>
        </w:tc>
      </w:tr>
      <w:tr>
        <w:tc>
          <w:tcPr>
            <w:tcW w:type="dxa" w:w="4819"/>
          </w:tcPr>
          <w:p>
            <w:pPr>
              <w:pStyle w:val="SanadTableText"/>
            </w:pPr>
            <w:r>
              <w:t>عمولات وكلاء الدفع (2%)</w:t>
            </w:r>
          </w:p>
        </w:tc>
        <w:tc>
          <w:tcPr>
            <w:tcW w:type="dxa" w:w="4819"/>
          </w:tcPr>
          <w:p>
            <w:pPr>
              <w:pStyle w:val="SanadTableText"/>
            </w:pPr>
            <w:r>
              <w:t>23,400</w:t>
            </w:r>
          </w:p>
        </w:tc>
      </w:tr>
      <w:tr>
        <w:tc>
          <w:tcPr>
            <w:tcW w:type="dxa" w:w="4819"/>
          </w:tcPr>
          <w:p>
            <w:pPr>
              <w:pStyle w:val="SanadTableText"/>
            </w:pPr>
            <w:r>
              <w:t>الاستهداف والتحقق والزيارات المنزلية</w:t>
            </w:r>
          </w:p>
        </w:tc>
        <w:tc>
          <w:tcPr>
            <w:tcW w:type="dxa" w:w="4819"/>
          </w:tcPr>
          <w:p>
            <w:pPr>
              <w:pStyle w:val="SanadTableText"/>
            </w:pPr>
            <w:r>
              <w:t>62,000</w:t>
            </w:r>
          </w:p>
        </w:tc>
      </w:tr>
      <w:tr>
        <w:tc>
          <w:tcPr>
            <w:tcW w:type="dxa" w:w="4819"/>
          </w:tcPr>
          <w:p>
            <w:pPr>
              <w:pStyle w:val="SanadTableText"/>
            </w:pPr>
            <w:r>
              <w:t>آلية الشكاوى والرصد ورضا المستفيدين</w:t>
            </w:r>
          </w:p>
        </w:tc>
        <w:tc>
          <w:tcPr>
            <w:tcW w:type="dxa" w:w="4819"/>
          </w:tcPr>
          <w:p>
            <w:pPr>
              <w:pStyle w:val="SanadTableText"/>
            </w:pPr>
            <w:r>
              <w:t>44,600</w:t>
            </w:r>
          </w:p>
        </w:tc>
      </w:tr>
      <w:tr>
        <w:tc>
          <w:tcPr>
            <w:tcW w:type="dxa" w:w="4819"/>
          </w:tcPr>
          <w:p>
            <w:pPr>
              <w:pStyle w:val="SanadTableText"/>
            </w:pPr>
            <w:r>
              <w:t>رواتب فريق المشروع</w:t>
            </w:r>
          </w:p>
        </w:tc>
        <w:tc>
          <w:tcPr>
            <w:tcW w:type="dxa" w:w="4819"/>
          </w:tcPr>
          <w:p>
            <w:pPr>
              <w:pStyle w:val="SanadTableText"/>
            </w:pPr>
            <w:r>
              <w:t>72,000</w:t>
            </w:r>
          </w:p>
        </w:tc>
      </w:tr>
      <w:tr>
        <w:tc>
          <w:tcPr>
            <w:tcW w:type="dxa" w:w="4819"/>
          </w:tcPr>
          <w:p>
            <w:pPr>
              <w:pStyle w:val="SanadTableText"/>
            </w:pPr>
            <w:r>
              <w:t>التكاليف غير المباشرة</w:t>
            </w:r>
          </w:p>
        </w:tc>
        <w:tc>
          <w:tcPr>
            <w:tcW w:type="dxa" w:w="4819"/>
          </w:tcPr>
          <w:p>
            <w:pPr>
              <w:pStyle w:val="SanadTableText"/>
            </w:pPr>
            <w:r>
              <w:t>28,000</w:t>
            </w:r>
          </w:p>
        </w:tc>
      </w:tr>
      <w:tr>
        <w:tc>
          <w:tcPr>
            <w:tcW w:type="dxa" w:w="4819"/>
          </w:tcPr>
          <w:p>
            <w:pPr>
              <w:pStyle w:val="SanadTableText"/>
            </w:pPr>
            <w:r>
              <w:rPr>
                <w:rFonts w:ascii="Noto Serif" w:hAnsi="Noto Serif" w:eastAsia="Noto Serif" w:cs="Noto Naskh Arabic"/>
                <w:b w:val="1"/>
                <w:bCs w:val="1"/>
                <w:rtl w:val="1"/>
              </w:rPr>
              <w:t>الإجمالي</w:t>
            </w:r>
          </w:p>
        </w:tc>
        <w:tc>
          <w:tcPr>
            <w:tcW w:type="dxa" w:w="4819"/>
          </w:tcPr>
          <w:p>
            <w:pPr>
              <w:pStyle w:val="SanadTableText"/>
            </w:pPr>
            <w:r>
              <w:rPr>
                <w:rFonts w:ascii="Noto Serif" w:hAnsi="Noto Serif" w:eastAsia="Noto Serif" w:cs="Noto Naskh Arabic"/>
                <w:b w:val="1"/>
                <w:bCs w:val="1"/>
                <w:rtl w:val="1"/>
              </w:rPr>
              <w:t>1,400,000</w:t>
            </w:r>
          </w:p>
        </w:tc>
      </w:tr>
    </w:tbl>
    <w:p>
      <w:pPr>
        <w:pStyle w:val="Heading2"/>
        <w:spacing w:before="160"/>
      </w:pPr>
      <w:r>
        <w:t>المادة 4: الدفعات</w:t>
      </w:r>
    </w:p>
    <w:p>
      <w:r>
        <w:t>يصرف الصندوق المنحة على أربع دفعات نصف سنوية، تُحسب كل منها على أساس عدد الأسر المدرجة فعلياً في الفترة التالية، على ألا يتجاوز مجموعها قيمة المنحة.</w:t>
      </w:r>
    </w:p>
    <w:p>
      <w:pPr>
        <w:pStyle w:val="Heading2"/>
        <w:pageBreakBefore/>
      </w:pPr>
      <w:r>
        <w:t>المادة 5: آلية الشكاوى والمساءلة</w:t>
      </w:r>
    </w:p>
    <w:p>
      <w:pPr>
        <w:pStyle w:val="SanadListItem"/>
        <w:ind w:start="454" w:hanging="340"/>
      </w:pPr>
      <w:r>
        <w:t>1.</w:t>
        <w:tab/>
      </w:r>
      <w:r>
        <w:t>تشغّل المؤسسة آلية للشكاوى والملاحظات متاحة للمستفيدين ولغيرهم، عبر الهاتف وصناديق الشكاوى في المجالس المحلية والنموذج الإلكتروني على الرابط https://example.org/feedback، وتتيح تقديم الشكوى شفهياً لمن لا يجيدون القراءة والكتابة.</w:t>
      </w:r>
    </w:p>
    <w:p>
      <w:pPr>
        <w:pStyle w:val="SanadListItem"/>
        <w:ind w:start="454" w:hanging="340"/>
      </w:pPr>
      <w:r>
        <w:t>2.</w:t>
        <w:tab/>
      </w:r>
      <w:r>
        <w:t>تُسجَّل كل شكوى وتُبلَّغ صاحبها بالنتيجة خلال أربعة عشر يوماً كحد أقصى.</w:t>
      </w:r>
    </w:p>
    <w:p>
      <w:pPr>
        <w:pStyle w:val="SanadListItem"/>
        <w:ind w:start="454" w:hanging="340"/>
      </w:pPr>
      <w:r>
        <w:t>3.</w:t>
        <w:tab/>
      </w:r>
      <w:r>
        <w:t>تجري المؤسسة مسحاً لرضا المستفيدين مرة واحدة على الأقل خلال مدة المشروع، وتشارك نتائجه مع الصندوق.</w:t>
      </w:r>
    </w:p>
    <w:p>
      <w:pPr>
        <w:pStyle w:val="Heading2"/>
      </w:pPr>
      <w:r>
        <w:t>المادة 6: حماية البيانات</w:t>
      </w:r>
    </w:p>
    <w:p>
      <w:r>
        <w:t>لا تُدرج في التقارير المقدمة إلى الصندوق أسماء المستفيدين ولا أرقام هوياتهم، بل رموز تعريفية مولّدة. ويبيّن الجدول الآتي شكل السجل المستخدم، ببيانات توضيحية افتراضية:</w:t>
      </w:r>
    </w:p>
    <w:tbl>
      <w:tblPr>
        <w:tblStyle w:val="TableGrid"/>
        <w:bidiVisual w:val="1"/>
        <w:tblW w:type="pct" w:w="5000"/>
        <w:tblLook w:firstColumn="1" w:firstRow="1" w:lastColumn="0" w:lastRow="0" w:noHBand="0" w:noVBand="1" w:val="04A0"/>
      </w:tblPr>
      <w:tblGrid>
        <w:gridCol w:w="2409"/>
        <w:gridCol w:w="2409"/>
        <w:gridCol w:w="2409"/>
        <w:gridCol w:w="2409"/>
      </w:tblGrid>
      <w:tr>
        <w:tc>
          <w:tcPr>
            <w:tcW w:type="dxa" w:w="2409"/>
            <w:shd w:val="clear" w:color="auto" w:fill="E3ECEF"/>
          </w:tcPr>
          <w:p>
            <w:pPr>
              <w:pStyle w:val="SanadTableText"/>
            </w:pPr>
            <w:r>
              <w:rPr>
                <w:rFonts w:ascii="Noto Serif" w:hAnsi="Noto Serif" w:eastAsia="Noto Serif" w:cs="Noto Naskh Arabic"/>
                <w:b w:val="1"/>
                <w:bCs w:val="1"/>
                <w:rtl w:val="1"/>
              </w:rPr>
              <w:t>الرمز التعريفي</w:t>
            </w:r>
          </w:p>
        </w:tc>
        <w:tc>
          <w:tcPr>
            <w:tcW w:type="dxa" w:w="2409"/>
            <w:shd w:val="clear" w:color="auto" w:fill="E3ECEF"/>
          </w:tcPr>
          <w:p>
            <w:pPr>
              <w:pStyle w:val="SanadTableText"/>
            </w:pPr>
            <w:r>
              <w:rPr>
                <w:rFonts w:ascii="Noto Serif" w:hAnsi="Noto Serif" w:eastAsia="Noto Serif" w:cs="Noto Naskh Arabic"/>
                <w:b w:val="1"/>
                <w:bCs w:val="1"/>
                <w:rtl w:val="1"/>
              </w:rPr>
              <w:t>المحافظة</w:t>
            </w:r>
          </w:p>
        </w:tc>
        <w:tc>
          <w:tcPr>
            <w:tcW w:type="dxa" w:w="2409"/>
            <w:shd w:val="clear" w:color="auto" w:fill="E3ECEF"/>
          </w:tcPr>
          <w:p>
            <w:pPr>
              <w:pStyle w:val="SanadTableText"/>
            </w:pPr>
            <w:r>
              <w:rPr>
                <w:rFonts w:ascii="Noto Serif" w:hAnsi="Noto Serif" w:eastAsia="Noto Serif" w:cs="Noto Naskh Arabic"/>
                <w:b w:val="1"/>
                <w:bCs w:val="1"/>
                <w:rtl w:val="1"/>
              </w:rPr>
              <w:t>عدد أفراد الأسرة</w:t>
            </w:r>
          </w:p>
        </w:tc>
        <w:tc>
          <w:tcPr>
            <w:tcW w:type="dxa" w:w="2409"/>
            <w:shd w:val="clear" w:color="auto" w:fill="E3ECEF"/>
          </w:tcPr>
          <w:p>
            <w:pPr>
              <w:pStyle w:val="SanadTableText"/>
            </w:pPr>
            <w:r>
              <w:rPr>
                <w:rFonts w:ascii="Noto Serif" w:hAnsi="Noto Serif" w:eastAsia="Noto Serif" w:cs="Noto Naskh Arabic"/>
                <w:b w:val="1"/>
                <w:bCs w:val="1"/>
                <w:rtl w:val="1"/>
              </w:rPr>
              <w:t>تاريخ الإدراج</w:t>
            </w:r>
          </w:p>
        </w:tc>
      </w:tr>
      <w:tr>
        <w:tc>
          <w:tcPr>
            <w:tcW w:type="dxa" w:w="2409"/>
          </w:tcPr>
          <w:p>
            <w:pPr>
              <w:pStyle w:val="SanadTableText"/>
            </w:pPr>
            <w:r>
              <w:t>FAKE-0000-1234</w:t>
            </w:r>
          </w:p>
        </w:tc>
        <w:tc>
          <w:tcPr>
            <w:tcW w:type="dxa" w:w="2409"/>
          </w:tcPr>
          <w:p>
            <w:pPr>
              <w:pStyle w:val="SanadTableText"/>
            </w:pPr>
            <w:r>
              <w:t>مرج الزعفران</w:t>
            </w:r>
          </w:p>
        </w:tc>
        <w:tc>
          <w:tcPr>
            <w:tcW w:type="dxa" w:w="2409"/>
          </w:tcPr>
          <w:p>
            <w:pPr>
              <w:pStyle w:val="SanadTableText"/>
            </w:pPr>
            <w:r>
              <w:t>6</w:t>
            </w:r>
          </w:p>
        </w:tc>
        <w:tc>
          <w:tcPr>
            <w:tcW w:type="dxa" w:w="2409"/>
          </w:tcPr>
          <w:p>
            <w:pPr>
              <w:pStyle w:val="SanadTableText"/>
            </w:pPr>
            <w:r>
              <w:t>07/2023</w:t>
            </w:r>
          </w:p>
        </w:tc>
      </w:tr>
      <w:tr>
        <w:tc>
          <w:tcPr>
            <w:tcW w:type="dxa" w:w="2409"/>
          </w:tcPr>
          <w:p>
            <w:pPr>
              <w:pStyle w:val="SanadTableText"/>
            </w:pPr>
            <w:r>
              <w:t>FAKE-0000-1235</w:t>
            </w:r>
          </w:p>
        </w:tc>
        <w:tc>
          <w:tcPr>
            <w:tcW w:type="dxa" w:w="2409"/>
          </w:tcPr>
          <w:p>
            <w:pPr>
              <w:pStyle w:val="SanadTableText"/>
            </w:pPr>
            <w:r>
              <w:t>السنابل</w:t>
            </w:r>
          </w:p>
        </w:tc>
        <w:tc>
          <w:tcPr>
            <w:tcW w:type="dxa" w:w="2409"/>
          </w:tcPr>
          <w:p>
            <w:pPr>
              <w:pStyle w:val="SanadTableText"/>
            </w:pPr>
            <w:r>
              <w:t>4</w:t>
            </w:r>
          </w:p>
        </w:tc>
        <w:tc>
          <w:tcPr>
            <w:tcW w:type="dxa" w:w="2409"/>
          </w:tcPr>
          <w:p>
            <w:pPr>
              <w:pStyle w:val="SanadTableText"/>
            </w:pPr>
            <w:r>
              <w:t>07/2023</w:t>
            </w:r>
          </w:p>
        </w:tc>
      </w:tr>
      <w:tr>
        <w:tc>
          <w:tcPr>
            <w:tcW w:type="dxa" w:w="2409"/>
          </w:tcPr>
          <w:p>
            <w:pPr>
              <w:pStyle w:val="SanadTableText"/>
            </w:pPr>
            <w:r>
              <w:t>FAKE-0000-1236</w:t>
            </w:r>
          </w:p>
        </w:tc>
        <w:tc>
          <w:tcPr>
            <w:tcW w:type="dxa" w:w="2409"/>
          </w:tcPr>
          <w:p>
            <w:pPr>
              <w:pStyle w:val="SanadTableText"/>
            </w:pPr>
            <w:r>
              <w:t>مرج الزعفران</w:t>
            </w:r>
          </w:p>
        </w:tc>
        <w:tc>
          <w:tcPr>
            <w:tcW w:type="dxa" w:w="2409"/>
          </w:tcPr>
          <w:p>
            <w:pPr>
              <w:pStyle w:val="SanadTableText"/>
            </w:pPr>
            <w:r>
              <w:t>8</w:t>
            </w:r>
          </w:p>
        </w:tc>
        <w:tc>
          <w:tcPr>
            <w:tcW w:type="dxa" w:w="2409"/>
          </w:tcPr>
          <w:p>
            <w:pPr>
              <w:pStyle w:val="SanadTableText"/>
            </w:pPr>
            <w:r>
              <w:t>08/2023</w:t>
            </w:r>
          </w:p>
        </w:tc>
      </w:tr>
    </w:tbl>
    <w:p>
      <w:pPr>
        <w:pStyle w:val="Heading2"/>
        <w:pageBreakBefore/>
      </w:pPr>
      <w:r>
        <w:t>المادة 7: الإحالة إلى خدمات التمكين</w:t>
      </w:r>
    </w:p>
    <w:p>
      <w:r>
        <w:t>تحيل المؤسسة الأسر التي يوجد فيها فرد قادر على العمل إلى برامجها للتدريب والتوظيف وسُبل العيش، وتتابع نتائج الإحالة في تقاريرها نصف السنوية.</w:t>
      </w:r>
    </w:p>
    <w:p>
      <w:pPr>
        <w:pStyle w:val="Heading2"/>
      </w:pPr>
      <w:r>
        <w:t>المادة 8: التقارير والتقييم</w:t>
      </w:r>
    </w:p>
    <w:p>
      <w:r>
        <w:t>تقدم المؤسسة تقريراً فنياً ومالياً كل ستة أشهر، وتقريراً نهائياً خلال ستين يوماً من انتهاء المشروع. ويجوز للصندوق تكليف جهة مستقلة بالتحقق من عينة من الأسر المستفيدة.</w:t>
      </w:r>
    </w:p>
    <w:p>
      <w:pPr>
        <w:pStyle w:val="Heading2"/>
      </w:pPr>
      <w:r>
        <w:t>المادة 9: الإنهاء</w:t>
      </w:r>
    </w:p>
    <w:p>
      <w:r>
        <w:t>يجوز لأي من الطرفين إنهاء الاتفاقية بإشعار خطي مدته تسعون يوماً، على أن تستكمل المؤسسة صرف الدفعات المستحقة للأسر المدرجة قبل تاريخ الإشعار.</w:t>
      </w:r>
    </w:p>
    <w:p>
      <w:pPr>
        <w:pStyle w:val="Heading2"/>
      </w:pPr>
      <w:r>
        <w:t>التوقيعات (أسماء مستعارة)</w:t>
      </w:r>
    </w:p>
    <w:tbl>
      <w:tblPr>
        <w:tblStyle w:val="TableGrid"/>
        <w:bidiVisual w:val="1"/>
        <w:tblW w:type="pct" w:w="5000"/>
        <w:tblLook w:firstColumn="1" w:firstRow="1" w:lastColumn="0" w:lastRow="0" w:noHBand="0" w:noVBand="1" w:val="04A0"/>
      </w:tblPr>
      <w:tblGrid>
        <w:gridCol w:w="4819"/>
        <w:gridCol w:w="4819"/>
      </w:tblGrid>
      <w:tr>
        <w:tc>
          <w:tcPr>
            <w:tcW w:type="dxa" w:w="4819"/>
            <w:shd w:val="clear" w:color="auto" w:fill="E3ECEF"/>
          </w:tcPr>
          <w:p>
            <w:pPr>
              <w:pStyle w:val="SanadTableText"/>
            </w:pPr>
            <w:r>
              <w:rPr>
                <w:rFonts w:ascii="Noto Serif" w:hAnsi="Noto Serif" w:eastAsia="Noto Serif" w:cs="Noto Naskh Arabic"/>
                <w:b w:val="1"/>
                <w:bCs w:val="1"/>
                <w:rtl w:val="1"/>
              </w:rPr>
              <w:t>عن صندوق تلال العنبر للتنمية</w:t>
            </w:r>
          </w:p>
        </w:tc>
        <w:tc>
          <w:tcPr>
            <w:tcW w:type="dxa" w:w="4819"/>
            <w:shd w:val="clear" w:color="auto" w:fill="E3ECEF"/>
          </w:tcPr>
          <w:p>
            <w:pPr>
              <w:pStyle w:val="SanadTableText"/>
            </w:pPr>
            <w:r>
              <w:rPr>
                <w:rFonts w:ascii="Noto Serif" w:hAnsi="Noto Serif" w:eastAsia="Noto Serif" w:cs="Noto Naskh Arabic"/>
                <w:b w:val="1"/>
                <w:bCs w:val="1"/>
                <w:rtl w:val="1"/>
              </w:rPr>
              <w:t>عن مؤسسة الريحان للتنمية</w:t>
            </w:r>
          </w:p>
        </w:tc>
      </w:tr>
      <w:tr>
        <w:tc>
          <w:tcPr>
            <w:tcW w:type="dxa" w:w="4819"/>
          </w:tcPr>
          <w:p>
            <w:pPr>
              <w:pStyle w:val="SanadTableText"/>
            </w:pPr>
            <w:r>
              <w:t>سامر الطحان، المدير التنفيذي للصندوق</w:t>
            </w:r>
          </w:p>
        </w:tc>
        <w:tc>
          <w:tcPr>
            <w:tcW w:type="dxa" w:w="4819"/>
          </w:tcPr>
          <w:p>
            <w:pPr>
              <w:pStyle w:val="SanadTableText"/>
            </w:pPr>
            <w:r>
              <w:t>د. كريم العطار، المدير التنفيذي</w:t>
            </w:r>
          </w:p>
        </w:tc>
      </w:tr>
    </w:tbl>
    <w:sectPr w:rsidR="00FC693F" w:rsidRPr="0006063C" w:rsidSect="00034616">
      <w:pgSz w:w="11906" w:h="16838"/>
      <w:pgMar w:top="1134" w:right="1134" w:bottom="1134" w:left="1134" w:header="567" w:footer="567"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erif" w:hAnsi="Noto Serif" w:eastAsia="Noto Serif" w:cs="Noto Naskh Arabic"/>
        <w:sz w:val="24"/>
        <w:szCs w:val="24"/>
        <w:rtl w:val="1"/>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spacing w:after="120" w:line="276" w:lineRule="auto"/>
    </w:pPr>
    <w:rPr>
      <w:rFonts w:ascii="Noto Serif" w:hAnsi="Noto Serif" w:eastAsia="Noto Serif" w:cs="Noto Naskh Arabic"/>
      <w:sz w:val="24"/>
      <w:szCs w:val="24"/>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20"/>
      <w:outlineLvl w:val="0"/>
    </w:pPr>
    <w:rPr>
      <w:rFonts w:ascii="Noto Serif" w:hAnsi="Noto Serif" w:eastAsia="Noto Serif" w:cs="Noto Naskh Arabic"/>
      <w:b w:val="1"/>
      <w:bCs w:val="1"/>
      <w:color w:val="1F4E5F"/>
      <w:sz w:val="40"/>
      <w:szCs w:val="40"/>
      <w:rtl w:val="1"/>
    </w:rPr>
  </w:style>
  <w:style w:type="paragraph" w:styleId="Heading2">
    <w:name w:val="heading 2"/>
    <w:basedOn w:val="Normal"/>
    <w:next w:val="Normal"/>
    <w:link w:val="Heading2Char"/>
    <w:uiPriority w:val="9"/>
    <w:unhideWhenUsed/>
    <w:qFormat/>
    <w:rsid w:val="00FC693F"/>
    <w:pPr>
      <w:keepNext/>
      <w:keepLines/>
      <w:bidi w:val="1"/>
      <w:spacing w:before="200" w:after="120"/>
      <w:outlineLvl w:val="1"/>
    </w:pPr>
    <w:rPr>
      <w:rFonts w:ascii="Noto Serif" w:hAnsi="Noto Serif" w:eastAsia="Noto Serif" w:cs="Noto Naskh Arabic"/>
      <w:b w:val="1"/>
      <w:bCs w:val="1"/>
      <w:color w:val="1F4E5F"/>
      <w:sz w:val="30"/>
      <w:szCs w:val="30"/>
      <w:rtl w:val="1"/>
    </w:rPr>
  </w:style>
  <w:style w:type="paragraph" w:styleId="Heading3">
    <w:name w:val="heading 3"/>
    <w:basedOn w:val="Normal"/>
    <w:next w:val="Normal"/>
    <w:link w:val="Heading3Char"/>
    <w:uiPriority w:val="9"/>
    <w:unhideWhenUsed/>
    <w:qFormat/>
    <w:rsid w:val="00FC693F"/>
    <w:pPr>
      <w:keepNext/>
      <w:keepLines/>
      <w:bidi w:val="1"/>
      <w:spacing w:before="200" w:after="120"/>
      <w:outlineLvl w:val="2"/>
    </w:pPr>
    <w:rPr>
      <w:rFonts w:ascii="Noto Serif" w:hAnsi="Noto Serif" w:eastAsia="Noto Serif" w:cs="Noto Naskh Arabic"/>
      <w:b w:val="1"/>
      <w:bCs w:val="1"/>
      <w:color w:val="1F4E5F"/>
      <w:sz w:val="26"/>
      <w:szCs w:val="26"/>
      <w:rtl w:val="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nadTableText">
    <w:name w:val="Sanad Table Text"/>
    <w:basedOn w:val="Normal"/>
    <w:pPr>
      <w:spacing w:after="0" w:line="240" w:lineRule="auto"/>
    </w:pPr>
    <w:rPr>
      <w:rFonts w:ascii="Noto Serif" w:hAnsi="Noto Serif" w:eastAsia="Noto Serif" w:cs="Noto Naskh Arabic"/>
      <w:sz w:val="21"/>
      <w:szCs w:val="21"/>
      <w:rtl w:val="1"/>
    </w:rPr>
  </w:style>
  <w:style w:type="paragraph" w:customStyle="1" w:styleId="SanadNotice">
    <w:name w:val="Sanad Notice"/>
    <w:basedOn w:val="Normal"/>
    <w:pPr>
      <w:pBdr>
        <w:right w:val="single" w:sz="18" w:space="6" w:color="B08D57"/>
      </w:pBdr>
      <w:shd w:val="clear" w:color="auto" w:fill="F6F1E7"/>
    </w:pPr>
    <w:rPr>
      <w:rFonts w:ascii="Noto Serif" w:hAnsi="Noto Serif" w:eastAsia="Noto Serif" w:cs="Noto Naskh Arabic"/>
      <w:sz w:val="21"/>
      <w:szCs w:val="21"/>
      <w:rtl w:val="1"/>
    </w:rPr>
  </w:style>
  <w:style w:type="paragraph" w:customStyle="1" w:styleId="SanadListItem">
    <w:name w:val="Sanad List Item"/>
    <w:basedOn w:val="Normal"/>
    <w:pPr>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اتفاقية منحة المشروع SPC-2023-01 مع صندوق تلال العنبر للتنمية</dc:title>
  <dc:subject>Grant Agreement SPC-2023-01 with the Tilal Al-Anbar Development Fund</dc:subject>
  <dc:creator>Al-Rayhan Development Foundation (synthetic)</dc:creator>
  <cp:keywords>synthetic demo corpus</cp:keywords>
  <dc:description>Synthetic demo corpus. The organisation, donors, evaluators, places, people and figures are all fictional.</dc:description>
  <cp:lastModifiedBy>Al-Rayhan Development Foundation (synthetic)</cp:lastModifiedBy>
  <cp:revision>1</cp:revision>
  <dcterms:created xsi:type="dcterms:W3CDTF">2026-10-24T00:00:00Z</dcterms:created>
  <dcterms:modified xsi:type="dcterms:W3CDTF">2026-10-24T00:00:00Z</dcterms:modified>
  <cp:category>donor_agreement</cp:category>
  <cp:lastPrinted>2026-10-24T00:00:00Z</cp:lastPrinted>
  <dc:language>ar-SA</dc:language>
</cp:coreProperties>
</file>