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Arial Unicode MS" w:hAnsi="Arial Unicode MS" w:eastAsia="Arial Unicode MS" w:cs="Arial Unicode MS"/>
          <w:b/>
          <w:color w:val="0B2545"/>
          <w:sz w:val="48"/>
        </w:rPr>
        <w:t>项目章程</w:t>
      </w:r>
    </w:p>
    <w:p>
      <w:pPr>
        <w:spacing w:after="440"/>
      </w:pPr>
      <w:r>
        <w:rPr>
          <w:rFonts w:ascii="Arial Unicode MS" w:hAnsi="Arial Unicode MS" w:eastAsia="Arial Unicode MS" w:cs="Arial Unicode MS"/>
          <w:b w:val="0"/>
          <w:color w:val="2E74B5"/>
          <w:sz w:val="26"/>
        </w:rPr>
        <w:t>汽车手机端控制应用项目  /  推演草案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50"/>
        <w:gridCol w:w="3330"/>
        <w:gridCol w:w="1350"/>
        <w:gridCol w:w="3330"/>
      </w:tblGrid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文档版本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7"/>
              </w:rPr>
              <w:t>0.1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文档状态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7"/>
              </w:rPr>
              <w:t>推演草案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编制日期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7"/>
              </w:rPr>
              <w:t>2026-07-18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批准日期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B42318"/>
                <w:sz w:val="17"/>
              </w:rPr>
              <w:t>待确认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项目经理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B42318"/>
                <w:sz w:val="17"/>
              </w:rPr>
              <w:t>待确认（角色已识别）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发起人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B42318"/>
                <w:sz w:val="17"/>
              </w:rPr>
              <w:t>待确认（角色：数字产品中心负责人）</w:t>
            </w:r>
          </w:p>
        </w:tc>
      </w:tr>
    </w:tbl>
    <w:p>
      <w:pPr>
        <w:spacing w:after="0"/>
      </w:pPr>
    </w:p>
    <w:p>
      <w:pPr>
        <w:spacing w:before="100" w:after="180"/>
        <w:ind w:left="160" w:right="160"/>
        <w:shd w:fill="FDECEC"/>
        <w:pBdr>
          <w:left w:val="single" w:sz="18" w:space="8" w:color="B42318"/>
        </w:pBdr>
      </w:pPr>
      <w:r>
        <w:rPr>
          <w:rFonts w:ascii="Arial Unicode MS" w:hAnsi="Arial Unicode MS" w:eastAsia="Arial Unicode MS" w:cs="Arial Unicode MS"/>
          <w:b/>
          <w:color w:val="B42318"/>
          <w:sz w:val="21"/>
        </w:rPr>
        <w:t xml:space="preserve">草案状态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本文件由样本访谈与规则推演生成，供项目启动讨论使用。批准预算、资金来源、项目经理姓名及发起人姓名尚未确认，因此当前不可作为正式批准章程。</w:t>
      </w:r>
    </w:p>
    <w:p>
      <w:pPr>
        <w:spacing w:before="100" w:after="180"/>
        <w:ind w:left="160" w:right="160"/>
        <w:shd w:fill="F3F7FB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 xml:space="preserve">建议的开发与治理方式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采用混合型生命周期。关键安全、合规、接口与验收工作采用预测型治理；移动端体验和可拆分功能采用迭代开发；通过固定集成列车与阶段门衔接。</w:t>
      </w:r>
    </w:p>
    <w:p>
      <w:pPr>
        <w:pStyle w:val="Heading1"/>
        <w:keepNext/>
      </w:pPr>
      <w:r>
        <w:t>1. 项目目的与预期价值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项目目的　</w:t>
      </w: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建设面向个人车主的统一手机端车辆服务入口，通过 iOS、Android、云端服务与车端接口协同，提供可信的车况查询、充电管理和受控远程操作能力。项目采用混合型生命周期：安全、隐私、关键接口和发布门槛前置治理，移动端体验与可拆分功能迭代验证。</w:t>
      </w:r>
      <w:r>
        <w:rPr>
          <w:rFonts w:ascii="Arial Unicode MS" w:hAnsi="Arial Unicode MS" w:eastAsia="Arial Unicode MS" w:cs="Arial Unicode MS"/>
          <w:b w:val="0"/>
          <w:i/>
          <w:color w:val="2E74B5"/>
          <w:sz w:val="17"/>
        </w:rPr>
        <w:t xml:space="preserve"> 〔推断〕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业务需求　</w:t>
      </w: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当前车主数字服务入口分散、状态反馈不一致，不同车型之间的服务体验存在差异。业务需要在不降低车辆控制安全和数据合规水平的前提下，建立统一、可扩展、可观测的移动服务能力。</w:t>
      </w:r>
      <w:r>
        <w:rPr>
          <w:rFonts w:ascii="Arial Unicode MS" w:hAnsi="Arial Unicode MS" w:eastAsia="Arial Unicode MS" w:cs="Arial Unicode MS"/>
          <w:b w:val="0"/>
          <w:i/>
          <w:color w:val="2E74B5"/>
          <w:sz w:val="17"/>
        </w:rPr>
        <w:t xml:space="preserve"> 〔推断〕</w:t>
      </w:r>
    </w:p>
    <w:p>
      <w:pPr>
        <w:pStyle w:val="Heading2"/>
        <w:keepNext/>
      </w:pPr>
      <w:r>
        <w:t>预期价值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为车主提供统一、可信、易用的车辆数字服务入口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提升远程服务成功率和车主满意度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形成可复用于多车型的移动端、云端和车端集成能力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通过审计、监控和安全控制降低远程车辆操作风险</w:t>
      </w:r>
    </w:p>
    <w:p>
      <w:pPr>
        <w:pStyle w:val="Heading1"/>
        <w:keepNext/>
      </w:pPr>
      <w:r>
        <w:t>2. 可测量的项目目标与成功标准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0"/>
        <w:gridCol w:w="2050"/>
        <w:gridCol w:w="1100"/>
        <w:gridCol w:w="2860"/>
        <w:gridCol w:w="1700"/>
      </w:tblGrid>
      <w:tr>
        <w:trPr>
          <w:trHeight w:hRule="atLeast"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指标与目标值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期限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验证方式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责任角色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完成首个正式版本发布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正式发布完成时间</w:t>
              <w:br/>
              <w:t>不晚于 2027-04-30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2027-04-30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发布评审通过，生产环境版本、发布记录和回滚方案完整。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项目经理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保证远程控制响应与成功率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执行结果反馈 P95；正常服务条件成功率</w:t>
              <w:br/>
              <w:t>P95 ≤ 8 秒；成功率 ≥ 99.5%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系统验证阶段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在定义的车型、网络和负载基线下执行端到端性能与可靠性测试。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云端与车端技术负责人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满足远程控制安全要求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高风险安全用例通过率；未关闭安全缺陷</w:t>
              <w:br/>
              <w:t>高风险用例 100% 通过；无未关闭 P0/P1 安全缺陷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灰度发布前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安全评审、渗透测试、授权绕过测试和远程控制专项验证。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信息安全负责人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保证移动端稳定性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无崩溃会话比例</w:t>
              <w:br/>
              <w:t>≥ 99.8%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灰度试点结束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依据移动端监控平台连续四周数据计算。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App 技术负责人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验证车主体验价值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灰度用户满意度</w:t>
              <w:br/>
              <w:t>≥ 85/100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灰度试点结束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对完成核心任务的灰度车主进行问卷与访谈，样本量和计算方法在测量计划中定义。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移动产品负责人</w:t>
            </w:r>
          </w:p>
        </w:tc>
      </w:tr>
    </w:tbl>
    <w:p>
      <w:pPr>
        <w:spacing w:after="0"/>
      </w:pPr>
    </w:p>
    <w:p>
      <w:pPr>
        <w:spacing w:before="100" w:after="180"/>
        <w:ind w:left="160" w:right="160"/>
        <w:shd w:fill="FFF8E1"/>
        <w:pBdr>
          <w:left w:val="single" w:sz="18" w:space="8" w:color="9A6700"/>
        </w:pBdr>
      </w:pPr>
      <w:r>
        <w:rPr>
          <w:rFonts w:ascii="Arial Unicode MS" w:hAnsi="Arial Unicode MS" w:eastAsia="Arial Unicode MS" w:cs="Arial Unicode MS"/>
          <w:b/>
          <w:color w:val="9A6700"/>
          <w:sz w:val="21"/>
        </w:rPr>
        <w:t xml:space="preserve">确认提示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目标值和期限来自当前样本假设，进入章程批准前应由发起人、产品、安全和技术责任角色共同确认。</w:t>
      </w:r>
    </w:p>
    <w:p>
      <w:pPr>
        <w:pStyle w:val="Heading1"/>
        <w:keepNext/>
      </w:pPr>
      <w:r>
        <w:t>3. 高层级范围、需求与交付成果</w:t>
      </w:r>
    </w:p>
    <w:p>
      <w:pPr>
        <w:pStyle w:val="Heading2"/>
        <w:keepNext/>
      </w:pPr>
      <w:r>
        <w:t>高层级需求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支持账号实名认证、车辆绑定与解绑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支持车辆状态、充电状态和车辆位置查询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支持经过授权的车门与空调远程控制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支持预约充电、消息通知、操作反馈和完整审计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远程控制执行强身份认证、授权校验、幂等和状态一致性处理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个人信息、位置和车辆数据按最小必要原则处理并满足合规要求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具备监控、告警、故障降级、应急回滚和多车型兼容能力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范围边界　</w:t>
      </w: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第一阶段覆盖面向个人车主的 App、配套云端服务、目标车型接口集成及运营运维支撑；仅包含经过安全论证和批准的远程操作。自动驾驶、远程驾驶、远程泊车、完整售后工单、车辆硬件改造和海外适配不在本阶段范围内。</w:t>
      </w:r>
      <w:r>
        <w:rPr>
          <w:rFonts w:ascii="Arial Unicode MS" w:hAnsi="Arial Unicode MS" w:eastAsia="Arial Unicode MS" w:cs="Arial Unicode MS"/>
          <w:b w:val="0"/>
          <w:i/>
          <w:color w:val="9A6700"/>
          <w:sz w:val="17"/>
        </w:rPr>
        <w:t xml:space="preserve"> 〔暂定〕</w:t>
      </w:r>
    </w:p>
    <w:p>
      <w:pPr>
        <w:pStyle w:val="Heading2"/>
        <w:keepNext/>
      </w:pPr>
      <w:r>
        <w:t>主要交付成果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50"/>
        <w:gridCol w:w="5210"/>
        <w:gridCol w:w="2300"/>
      </w:tblGrid>
      <w:tr>
        <w:trPr>
          <w:trHeight w:hRule="atLeast"/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交付成果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说明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验收责任角色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车主移动应用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iOS 与 Android 应用、设计规范和发布包。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移动产品负责人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车辆服务云端能力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账号与车辆关系、指令编排、状态同步、通知和审计服务。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云端技术负责人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车端接口集成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目标车型协议适配、接口基线、异常语义和兼容性矩阵。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车端技术负责人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安全与合规证据包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威胁分析、安全需求、隐私影响分析、测试报告和例外审批记录。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信息安全与数据合规负责人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运营与运维移交包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监控告警、应急预案、客服知识、操作手册、发布与回滚文档。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运营与运维负责人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明确不在第一阶段范围内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自动驾驶、远程驾驶与远程泊车控制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面向维修站的完整售后工单系统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车辆硬件改造和既有车端控制器重构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海外市场与海外法规适配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未经单独安全论证的高风险车辆控制能力</w:t>
      </w:r>
    </w:p>
    <w:p>
      <w:pPr>
        <w:pStyle w:val="Heading1"/>
        <w:keepNext/>
      </w:pPr>
      <w:r>
        <w:t>4. 总体里程碑进度计划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1200"/>
        <w:gridCol w:w="4260"/>
        <w:gridCol w:w="2000"/>
      </w:tblGrid>
      <w:tr>
        <w:trPr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里程碑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目标日期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退出条件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责任角色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项目启动与章程批准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2026-08-14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发起人批准章程；项目经理、核心团队和治理机制明确。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项目发起人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产品、安全与合规边界基线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2026-09-18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核心场景、远程控制边界、安全需求、隐私要求和首批车型范围通过评审。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产品与安全负责人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架构与接口基线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2026-10-09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App、云端、车端接口契约、异常语义、环境与集成计划通过评审。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总体技术负责人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核心功能 MVP 完成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2026-12-18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车辆绑定、车况、车门与空调远程控制在集成环境可演示。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移动产品负责人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端到端系统验证完成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2027-02-19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目标车型端到端功能、安全、性能、弱网和兼容性测试达到灰度门槛。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测试与质量负责人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灰度试点开始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2027-03-26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发布评审通过；监控、应急、客服和回滚准备完成。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发布负责人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正式发布与运营移交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2027-04-30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灰度指标达标；遗留风险获批准；运营运维完成接收。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项目经理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整体项目风险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20"/>
        <w:gridCol w:w="800"/>
        <w:gridCol w:w="1840"/>
        <w:gridCol w:w="4000"/>
      </w:tblGrid>
      <w:tr>
        <w:trPr>
          <w:trHeight w:hRule="atLeast"/>
          <w:tblHeader w:val="true"/>
        </w:trPr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等级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责任角色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高层级应对</w:t>
            </w:r>
          </w:p>
        </w:tc>
      </w:tr>
      <w:tr>
        <w:trPr>
          <w:cantSplit/>
          <w:trHeight w:hRule="atLeast"/>
        </w:trPr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认证或授权缺陷导致未授权远程车辆控制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High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信息安全负责人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强认证、设备绑定、最小权限、指令签名、风控与全量审计。</w:t>
            </w:r>
          </w:p>
        </w:tc>
      </w:tr>
      <w:tr>
        <w:trPr>
          <w:cantSplit/>
          <w:trHeight w:hRule="atLeast"/>
        </w:trPr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位置与车辆数据泄露或被超范围使用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Critical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数据合规负责人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数据最小化、分级分类、加密、留存控制和隐私影响评估。</w:t>
            </w:r>
          </w:p>
        </w:tc>
      </w:tr>
      <w:tr>
        <w:trPr>
          <w:cantSplit/>
          <w:trHeight w:hRule="atLeast"/>
        </w:trPr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车型协议或状态语义不一致导致错误反馈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High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车端技术负责人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接口契约、协议模拟器、车型矩阵、幂等和异常状态验证。</w:t>
            </w:r>
          </w:p>
        </w:tc>
      </w:tr>
      <w:tr>
        <w:trPr>
          <w:cantSplit/>
          <w:trHeight w:hRule="atLeast"/>
        </w:trPr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弱网与重复指令造成状态不一致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High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云端技术负责人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状态机、超时重试、去重、最终一致性与用户明确反馈。</w:t>
            </w:r>
          </w:p>
        </w:tc>
      </w:tr>
      <w:tr>
        <w:trPr>
          <w:cantSplit/>
          <w:trHeight w:hRule="atLeast"/>
        </w:trPr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多车型兼容性覆盖不足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High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测试与质量负责人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冻结首批车型、建立兼容矩阵并按风险选择真实车辆与台架。</w:t>
            </w:r>
          </w:p>
        </w:tc>
      </w:tr>
    </w:tbl>
    <w:p>
      <w:pPr>
        <w:spacing w:after="0"/>
      </w:pPr>
    </w:p>
    <w:p>
      <w:pPr>
        <w:spacing w:before="100" w:after="180"/>
        <w:ind w:left="160" w:right="160"/>
        <w:shd w:fill="F3F7FB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 xml:space="preserve">风险治理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章程仅呈现高层摘要。完整的原因—事件—影响、概率与影响评分、触发条件、应急计划及剩余风险保存在风险登记册中。</w:t>
      </w:r>
    </w:p>
    <w:p>
      <w:pPr>
        <w:pStyle w:val="Heading1"/>
        <w:keepNext/>
      </w:pPr>
      <w:r>
        <w:t>6. 财务资源与关键干系人</w:t>
      </w:r>
    </w:p>
    <w:p>
      <w:pPr>
        <w:spacing w:before="100" w:after="180"/>
        <w:ind w:left="160" w:right="160"/>
        <w:shd w:fill="FDECEC"/>
        <w:pBdr>
          <w:left w:val="single" w:sz="18" w:space="8" w:color="B42318"/>
        </w:pBdr>
      </w:pPr>
      <w:r>
        <w:rPr>
          <w:rFonts w:ascii="Arial Unicode MS" w:hAnsi="Arial Unicode MS" w:eastAsia="Arial Unicode MS" w:cs="Arial Unicode MS"/>
          <w:b/>
          <w:color w:val="B42318"/>
          <w:sz w:val="21"/>
        </w:rPr>
        <w:t xml:space="preserve">预算待确认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批准预算总额、资金来源和高层级预算分配均未提供。系统未生成虚构金额；该缺口会阻止章程进入“已批准”状态。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4800"/>
        <w:gridCol w:w="2060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关键角色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与项目的关系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确认状态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数字产品中心负责人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项目发起人和最终批准角色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项目经理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负责项目整合与交付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姓名待确认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移动产品负责人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负责产品价值、范围与优先级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App、云端与车端技术负责人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负责实现、接口和系统集成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信息安全与数据合规负责人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负责安全、隐私与合规门禁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测试与质量负责人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负责验证策略和质量门禁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运营、客服与运维负责人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负责上线准备和运营移交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车型项目与供应商代表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提供车端能力、环境和外部交付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角色已识别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审批要求与退出标准</w:t>
      </w:r>
    </w:p>
    <w:p>
      <w:pPr>
        <w:pStyle w:val="Heading2"/>
        <w:keepNext/>
      </w:pPr>
      <w:r>
        <w:t>验收要求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批准范围内的功能和需求跟踪项全部验证并有可追溯证据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App、云端、车端的端到端集成测试通过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信息安全、隐私合规和远程控制专项评审通过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性能、稳定性、弱网和首批车型兼容性指标达到批准门槛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灰度试点指标达标，运营、客服、运维和应急机制完成移交</w:t>
      </w:r>
    </w:p>
    <w:p>
      <w:pPr>
        <w:pStyle w:val="Heading2"/>
        <w:keepNext/>
      </w:pPr>
      <w:r>
        <w:t>审批流程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产品、安全与合规边界评审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架构、接口和集成基线评审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核心功能 MVP 评审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系统验证与灰度发布评审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正式发布与项目验收评审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最终批准角色　</w:t>
      </w: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数字产品中心负责人（姓名待确认）</w:t>
      </w:r>
      <w:r>
        <w:rPr>
          <w:rFonts w:ascii="Arial Unicode MS" w:hAnsi="Arial Unicode MS" w:eastAsia="Arial Unicode MS" w:cs="Arial Unicode MS"/>
          <w:b w:val="0"/>
          <w:i/>
          <w:color w:val="2E74B5"/>
          <w:sz w:val="17"/>
        </w:rPr>
        <w:t xml:space="preserve"> 〔推断〕</w:t>
      </w:r>
    </w:p>
    <w:p>
      <w:pPr>
        <w:pStyle w:val="Heading2"/>
        <w:keepNext/>
      </w:pPr>
      <w:r>
        <w:t>项目退出标准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批准范围内的交付成果完成验收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无未关闭 P0/P1 安全缺陷；其他重大遗留项已获得书面例外批准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正式发布指标达到目标，回滚和应急方案经过演练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项目文件、配置基线、源代码和测试证据完整归档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运营、客服和运维团队完成培训与接收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未决合同、财务和供应商事项有明确责任人与关闭计划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经验教训登记完成，后续产品迭代移交产品运营机制</w:t>
      </w:r>
    </w:p>
    <w:p>
      <w:pPr>
        <w:pStyle w:val="Heading1"/>
        <w:keepNext/>
      </w:pPr>
      <w:r>
        <w:t>8. 项目经理与发起人权限</w:t>
      </w:r>
    </w:p>
    <w:p>
      <w:pPr>
        <w:pStyle w:val="Heading2"/>
        <w:keepNext/>
      </w:pPr>
      <w:r>
        <w:t>项目经理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人员　</w:t>
      </w:r>
      <w:r>
        <w:rPr>
          <w:rFonts w:ascii="Arial Unicode MS" w:hAnsi="Arial Unicode MS" w:eastAsia="Arial Unicode MS" w:cs="Arial Unicode MS"/>
          <w:b w:val="0"/>
          <w:color w:val="B42318"/>
          <w:sz w:val="21"/>
        </w:rPr>
        <w:t>项目经理（姓名待确认）</w:t>
      </w:r>
      <w:r>
        <w:rPr>
          <w:rFonts w:ascii="Arial Unicode MS" w:hAnsi="Arial Unicode MS" w:eastAsia="Arial Unicode MS" w:cs="Arial Unicode MS"/>
          <w:b w:val="0"/>
          <w:i/>
          <w:color w:val="B42318"/>
          <w:sz w:val="17"/>
        </w:rPr>
        <w:t xml:space="preserve"> 〔待确认〕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批准结论　</w:t>
      </w: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待批准</w:t>
      </w:r>
    </w:p>
    <w:p>
      <w:pPr>
        <w:pStyle w:val="Heading2"/>
        <w:keepNext/>
      </w:pPr>
      <w:r>
        <w:t>主要职责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整合产品、App、云端、车端、安全、测试、运营和供应商工作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维护项目管理计划、里程碑、风险、问题和变更闭环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组织关键阶段门评审并保证交付证据完整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向发起人报告项目状态、重大风险和需要升级的决策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推动项目在批准范围、时间、资源和质量边界内完成</w:t>
      </w:r>
    </w:p>
    <w:p>
      <w:pPr>
        <w:pStyle w:val="Heading2"/>
        <w:keepNext/>
      </w:pPr>
      <w:r>
        <w:t>职权边界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在批准的团队和资源边界内安排项目工作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批准不影响安全、合规、关键接口、范围基准和发布门槛的日常调整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召集跨团队评审并要求责任角色提交纠正措施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涉及基准、重大预算、安全边界或正式发布日期的变更必须提交 CCB 或发起人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有权暂停存在不可接受安全风险的发布活动</w:t>
      </w:r>
    </w:p>
    <w:p>
      <w:pPr>
        <w:pStyle w:val="Heading2"/>
        <w:keepNext/>
      </w:pPr>
      <w:r>
        <w:t>项目发起人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人员　</w:t>
      </w:r>
      <w:r>
        <w:rPr>
          <w:rFonts w:ascii="Arial Unicode MS" w:hAnsi="Arial Unicode MS" w:eastAsia="Arial Unicode MS" w:cs="Arial Unicode MS"/>
          <w:b w:val="0"/>
          <w:color w:val="243447"/>
          <w:sz w:val="21"/>
        </w:rPr>
        <w:t>数字产品中心负责人（姓名待确认）</w:t>
      </w:r>
      <w:r>
        <w:rPr>
          <w:rFonts w:ascii="Arial Unicode MS" w:hAnsi="Arial Unicode MS" w:eastAsia="Arial Unicode MS" w:cs="Arial Unicode MS"/>
          <w:b w:val="0"/>
          <w:i/>
          <w:color w:val="2E74B5"/>
          <w:sz w:val="17"/>
        </w:rPr>
        <w:t xml:space="preserve"> 〔推断〕</w:t>
      </w:r>
    </w:p>
    <w:p>
      <w:pPr>
        <w:pStyle w:val="Heading2"/>
        <w:keepNext/>
      </w:pPr>
      <w:r>
        <w:t>批准权限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批准项目章程并正式授权项目经理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协调跨组织关键资源并解决超出项目经理权限的问题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批准重大范围、预算、发布日期和风险接受决策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主持关键治理评审并决定项目继续、调整、暂停或终止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批准最终验收和项目收尾</w:t>
      </w:r>
    </w:p>
    <w:p>
      <w:r>
        <w:br w:type="page"/>
      </w:r>
    </w:p>
    <w:p>
      <w:pPr>
        <w:pStyle w:val="Heading1"/>
        <w:keepNext/>
      </w:pPr>
      <w:r>
        <w:t>附录 A：自动带入与推理追踪</w:t>
      </w:r>
    </w:p>
    <w:p>
      <w:pPr>
        <w:spacing w:after="160"/>
      </w:pPr>
      <w:r>
        <w:t>本附录用于说明内容是如何形成的。正文保持正式表达；证据状态和推理路径在此集中呈现，便于评审者复核。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50"/>
        <w:gridCol w:w="2860"/>
        <w:gridCol w:w="3300"/>
        <w:gridCol w:w="1350"/>
      </w:tblGrid>
      <w:tr>
        <w:trPr>
          <w:trHeight w:hRule="atLeast"/>
          <w:tblHeader w:val="true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章程字段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输入事实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推理/规则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项目目的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INT-002、INT-003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D-LIFECYCLE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推断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高层级需求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INT-006、INT-007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直接映射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推断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总体里程碑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INT-009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A-SAFETY-BASELINE、A-ARCH-BASELINE、A-INTEGRATION-TRAIN、A-GRAY-RELEASE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暂定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整体项目风险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INT-007、INT-012、INT-013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R-UNAUTHORIZED、R-DATA、R-PROTOCOL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推断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预算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INT-015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直接映射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待确认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项目经理</w:t>
            </w:r>
          </w:p>
        </w:tc>
        <w:tc>
          <w:tcPr>
            <w:tcW w:type="dxa" w:w="286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INT-016</w:t>
            </w:r>
          </w:p>
        </w:tc>
        <w:tc>
          <w:tcPr>
            <w:tcW w:type="dxa" w:w="33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直接映射</w:t>
            </w:r>
          </w:p>
        </w:tc>
        <w:tc>
          <w:tcPr>
            <w:tcW w:type="dxa" w:w="13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待确认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生命周期判断的证据链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50"/>
        <w:gridCol w:w="1100"/>
        <w:gridCol w:w="4700"/>
        <w:gridCol w:w="2110"/>
      </w:tblGrid>
      <w:tr>
        <w:trPr>
          <w:trHeight w:hRule="atLeast"/>
          <w:tblHeader w:val="true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节点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判断内容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来源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F-SAFETY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fact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包含车门、空调等远程车辆控制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INT-003、INT-006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F-PRIVACY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fact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处理身份、位置、车辆状态与操作记录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INT-004、INT-007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F-FEEDBACK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fact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移动端体验和部分运营能力需要持续反馈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INT-013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F-INTEGRATION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fact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App、云端、车端与外部平台存在多团队集成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INT-012、INT-014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J-GOVERNANCE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judgment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安全、隐私、关键接口和验收门槛必须前置治理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F-SAFETY、F-PRIVACY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J-ITERATION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judgment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移动端体验和可拆分业务能力适合短周期迭代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F-FEEDBACK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J-INTEGRATION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judgment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跨团队接口需要统一架构基线、集成节奏与阶段门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F-INTEGRATION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D-LIFECYCLE</w:t>
            </w:r>
          </w:p>
        </w:tc>
        <w:tc>
          <w:tcPr>
            <w:tcW w:type="dxa" w:w="1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decision</w:t>
            </w:r>
          </w:p>
        </w:tc>
        <w:tc>
          <w:tcPr>
            <w:tcW w:type="dxa" w:w="47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采用混合型生命周期</w:t>
            </w:r>
          </w:p>
        </w:tc>
        <w:tc>
          <w:tcPr>
            <w:tcW w:type="dxa" w:w="211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4"/>
              </w:rPr>
              <w:t>J-GOVERNANCE、J-ITERATION、J-INTEGRATION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B：待确认事项与批准阻断项</w:t>
      </w:r>
    </w:p>
    <w:p>
      <w:pPr>
        <w:spacing w:before="100" w:after="180"/>
        <w:ind w:left="160" w:right="160"/>
        <w:shd w:fill="FDECEC"/>
        <w:pBdr>
          <w:left w:val="single" w:sz="18" w:space="8" w:color="B42318"/>
        </w:pBdr>
      </w:pPr>
      <w:r>
        <w:rPr>
          <w:rFonts w:ascii="Arial Unicode MS" w:hAnsi="Arial Unicode MS" w:eastAsia="Arial Unicode MS" w:cs="Arial Unicode MS"/>
          <w:b/>
          <w:color w:val="B42318"/>
          <w:sz w:val="21"/>
        </w:rPr>
        <w:t xml:space="preserve">当前结论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本章程可以导出草案，但不可批准。共识别 4 个批准阻断项。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00"/>
        <w:gridCol w:w="6110"/>
        <w:gridCol w:w="2050"/>
      </w:tblGrid>
      <w:tr>
        <w:trPr>
          <w:trHeight w:hRule="atLeast"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需要确认的问题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阻断对象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OPEN-001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项目预算总额、资金来源和批准边界是什么？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章程批准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OPEN-002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项目经理和发起人的具体姓名与正式授权是什么？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章程批准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OPEN-003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首批覆盖车型、地区和移动操作系统最低版本是什么？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43447"/>
                <w:sz w:val="16"/>
              </w:rPr>
              <w:t>范围基线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系统校验结果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批准预算总额和资金来源缺失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项目经理姓名与正式授权缺失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发起人姓名与批准信息缺失</w:t>
      </w:r>
    </w:p>
    <w:p>
      <w:pPr>
        <w:spacing w:after="60" w:line="269" w:lineRule="auto"/>
        <w:ind w:left="300" w:hanging="200"/>
      </w:pPr>
      <w:r>
        <w:rPr>
          <w:rFonts w:ascii="Arial Unicode MS" w:hAnsi="Arial Unicode MS" w:eastAsia="Arial Unicode MS" w:cs="Arial Unicode MS"/>
          <w:b w:val="0"/>
          <w:color w:val="5B6875"/>
          <w:sz w:val="20"/>
        </w:rPr>
        <w:t xml:space="preserve">□  </w:t>
      </w:r>
      <w:r>
        <w:rPr>
          <w:rFonts w:ascii="Arial Unicode MS" w:hAnsi="Arial Unicode MS" w:eastAsia="Arial Unicode MS" w:cs="Arial Unicode MS"/>
          <w:b w:val="0"/>
          <w:color w:val="243447"/>
          <w:sz w:val="20"/>
        </w:rPr>
        <w:t>首批车型与地区范围待确认</w:t>
      </w:r>
    </w:p>
    <w:p>
      <w:pPr>
        <w:spacing w:before="400"/>
        <w:jc w:val="center"/>
      </w:pPr>
      <w:r>
        <w:rPr>
          <w:rFonts w:ascii="Arial Unicode MS" w:hAnsi="Arial Unicode MS" w:eastAsia="Arial Unicode MS" w:cs="Arial Unicode MS"/>
          <w:b w:val="0"/>
          <w:i/>
          <w:color w:val="5B6875"/>
          <w:sz w:val="18"/>
        </w:rPr>
        <w:t>— 章节正文结束 / 后续确认结果应回填到结构化字段后重新导出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 w:cs="Arial Unicode MS"/>
        <w:b w:val="0"/>
        <w:color w:val="5B6875"/>
        <w:sz w:val="16"/>
      </w:rPr>
      <w:t xml:space="preserve">汽车手机端控制应用项目｜推演草案  ·  第 </w:t>
    </w:r>
    <w:r>
      <w:rPr>
        <w:rFonts w:ascii="Arial Unicode MS" w:hAnsi="Arial Unicode MS" w:eastAsia="Arial Unicode MS" w:cs="Arial Unicode MS"/>
        <w:b w:val="0"/>
        <w:color w:val="5B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b w:val="0"/>
        <w:color w:val="5B687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5" w:color="2E74B5"/>
      </w:pBdr>
    </w:pPr>
    <w:r>
      <w:rPr>
        <w:rFonts w:ascii="Arial Unicode MS" w:hAnsi="Arial Unicode MS" w:eastAsia="Arial Unicode MS" w:cs="Arial Unicode MS"/>
        <w:b/>
        <w:color w:val="2E74B5"/>
        <w:sz w:val="16"/>
      </w:rPr>
      <w:t>PM KNOWLEDGE LAB</w:t>
    </w:r>
    <w:r>
      <w:rPr>
        <w:rFonts w:ascii="Arial Unicode MS" w:hAnsi="Arial Unicode MS" w:eastAsia="Arial Unicode MS" w:cs="Arial Unicode MS"/>
        <w:b w:val="0"/>
        <w:color w:val="5B6875"/>
        <w:sz w:val="16"/>
      </w:rPr>
      <w:t xml:space="preserve">   /   项目章程样本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汽车手机端控制应用项目章程（推演草案）</dc:title>
  <dc:subject>项目章程连续样本：访谈、推理与模板自动带入</dc:subject>
  <dc:creator>项目管理知识网页</dc:creator>
  <cp:keywords>项目章程, 项目管理, 汽车应用, 推理树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