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-Clean up the system by substituting parts with simulink subsystems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-Use PI, PID controls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log useful data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compare simple threshold, min, hysteresis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-check if hysteresis is correct (odd acceleration peak of the  host vehicle)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compare acceleration before entering the vehicle plants and the response of the plant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compare relative distance difference between vehicles (x_L - x_H ) 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to observe the safest alternative also in term of the required accelerations to provide that safety 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1 control system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2 plot functioning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3 plot results for each mode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