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Highlights</w:t>
      </w:r>
    </w:p>
    <w:p>
      <w:pPr>
        <w:pStyle w:val="ListBullet"/>
      </w:pPr>
      <w:r>
        <w:t>Official 3 kg Robot-Sumo benchmark supports reproducible embodied learning.</w:t>
      </w:r>
    </w:p>
    <w:p>
      <w:pPr>
        <w:pStyle w:val="ListBullet"/>
      </w:pPr>
      <w:r>
        <w:t>Four reinforcement-learning methods are compared across five training seeds.</w:t>
      </w:r>
    </w:p>
    <w:p>
      <w:pPr>
        <w:pStyle w:val="ListBullet"/>
      </w:pPr>
      <w:r>
        <w:t>Contact-assisted attribution separates pushing wins from opponent self-outs.</w:t>
      </w:r>
    </w:p>
    <w:p>
      <w:pPr>
        <w:pStyle w:val="ListBullet"/>
      </w:pPr>
      <w:r>
        <w:t>PPO is descriptively strongest against moving opponents but seed-sensitive.</w:t>
      </w:r>
    </w:p>
    <w:p>
      <w:pPr>
        <w:pStyle w:val="ListBullet"/>
      </w:pPr>
      <w:r>
        <w:t>Self-play shows transient novice parity and reduced veteran generalization.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 - Robot-Sumo DRL</dc:title>
  <dc:subject/>
  <dc:creator>Iman Hindi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