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6. Exploratory Associations with Cancer Knowledge Score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38"/>
        <w:gridCol w:w="2013"/>
        <w:gridCol w:w="778"/>
        <w:gridCol w:w="3003"/>
        <w:gridCol w:w="1719"/>
        <w:gridCol w:w="1266"/>
        <w:gridCol w:w="13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Mean_Knowledge_Score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Feminin_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45.78 (8.75)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46.48 (9.56)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statut_matrimonial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44.75 (10.70)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statut_matrimonial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celibataire_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46.38 (9.12)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antecedent_personnel_de_cancer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46.33 (9.06)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antecedent_personnel_de_cancer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44.60 (12.42)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antecedent_familial_de_cancer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46.06 (9.07)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antecedent_familial_de_cancer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47.15 (10.33)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Autre_province_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46.44 (9.95)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0.000166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Hors_pays_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54.60 (3.27)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Maniema_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42.19 (10.71)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Nord_kivu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48.27 (8.42)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Sud_kivu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45.64 (8.61)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 rho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duree_stage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 rho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perception_score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 rho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4.79e-08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2026-09-18T12:56:47Z</dcterms:modified>
  <cp:category/>
</cp:coreProperties>
</file>