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71"/>
        <w:gridCol w:w="4347"/>
        <w:gridCol w:w="2672"/>
        <w:gridCol w:w="1181"/>
      </w:tblGrid>
      <w:tr>
        <w:trPr>
          <w:trHeight w:val="638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Predictors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Adjusted OR (95% CI)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 (years)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 (0.94 to 1.01)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sexeMasculin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 (0.99 to 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Province of origin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provinceHors_pays_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1.69 (1.13 to 2.55)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provinceManiema_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 (0.54 to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provinceNord_kivu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 (0.73 to 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provinceSud_kivu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 (0.62 to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Marital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statut_matrimonialMarié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 (0.82 to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Internship duration (months)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(0.98 to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Personal history of 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antecedent_personnel_de_cancerOui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 (0.70 to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 history of 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antecedent_familial_de_cancerOui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 (0.88 to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0.571</w:t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Perception score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 (1.12 to 1.26)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Adjusted OR: adjusted odds ratio; CI: confidence interval. Estimates are from a beta-binomial mixed-effects regression model with university as a random intercept.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Abbreviation: CI = Confidence Interval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Observations = 260; Akaike Information Criterion (AIC) = 1,851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2026-09-18T16:30:22Z</dcterms:modified>
  <cp:category/>
</cp:coreProperties>
</file>