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6. Exploratory Associations with Cancer Knowledge Score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38"/>
        <w:gridCol w:w="2013"/>
        <w:gridCol w:w="778"/>
        <w:gridCol w:w="3003"/>
        <w:gridCol w:w="1719"/>
        <w:gridCol w:w="1266"/>
        <w:gridCol w:w="132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Mean_Knowledge_Score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Feminin_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45.78 (8.75)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46.48 (9.56)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statut_matrimonial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Marié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44.75 (10.70)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statut_matrimonial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celibataire_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46.38 (9.12)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antecedent_personnel_de_cancer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46.33 (9.06)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antecedent_personnel_de_cancer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44.60 (12.42)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antecedent_familial_de_cancer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46.06 (9.07)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antecedent_familial_de_cancer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47.15 (10.33)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Autre_province_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46.44 (9.95)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0.000166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Hors_pays_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54.60 (3.27)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Maniema_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42.19 (10.71)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Nord_kivu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48.27 (8.42)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Sud_kivu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45.64 (8.61)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 rho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duree_stage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 rho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perception_score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 rho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4.79e-08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2026-09-12T07:25:53Z</dcterms:modified>
  <cp:category/>
</cp:coreProperties>
</file>