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54"/>
        <w:gridCol w:w="2209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IRR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(0.98 to 1.00)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Feminin_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Masculin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(0.99 to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Province of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Autre_province_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Hors_pays_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(1.05 to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Maniema_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(0.81 to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Nord_kivu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(0.93 to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Sud_kivu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(0.89 to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celibataire_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(0.92 to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Internship 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(0.99 to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Personal history of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Non_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(0.87 to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history of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(0.96 to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Perception score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(1.05 to 1.09)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IRR = Incidence Rate Ratio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 = 260; Akaike Information Criterion (AIC) = 1,879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2026-09-12T07:27:10Z</dcterms:modified>
  <cp:category/>
</cp:coreProperties>
</file>