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Vazirmatn ExtraBold" w:cs="Vazirmatn ExtraBold" w:eastAsia="Vazirmatn ExtraBold" w:hAnsi="Vazirmatn ExtraBold"/>
          <w:sz w:val="32"/>
          <w:szCs w:val="32"/>
        </w:rPr>
      </w:pP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نام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خدا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Vazirmatn ExtraBold" w:cs="Vazirmatn ExtraBold" w:eastAsia="Vazirmatn ExtraBold" w:hAnsi="Vazirmatn Extra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Vazirmatn ExtraBold" w:cs="Vazirmatn ExtraBold" w:eastAsia="Vazirmatn ExtraBold" w:hAnsi="Vazirmatn ExtraBold"/>
          <w:sz w:val="32"/>
          <w:szCs w:val="32"/>
        </w:rPr>
      </w:pP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</w:rPr>
        <w:drawing>
          <wp:inline distB="114300" distT="114300" distL="114300" distR="114300">
            <wp:extent cx="3071813" cy="30303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3030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Vazirmatn ExtraBold" w:cs="Vazirmatn ExtraBold" w:eastAsia="Vazirmatn ExtraBold" w:hAnsi="Vazirmatn Extra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Vazirmatn ExtraBold" w:cs="Vazirmatn ExtraBold" w:eastAsia="Vazirmatn ExtraBold" w:hAnsi="Vazirmatn ExtraBold"/>
          <w:sz w:val="32"/>
          <w:szCs w:val="32"/>
        </w:rPr>
      </w:pP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درس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تحلیل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طراحی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سیستم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ها</w:t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تمرین</w:t>
      </w:r>
      <w:r w:rsidDel="00000000" w:rsidR="00000000" w:rsidRPr="00000000">
        <w:rPr>
          <w:rFonts w:ascii="Vazirmatn ExtraBold" w:cs="Vazirmatn ExtraBold" w:eastAsia="Vazirmatn ExtraBold" w:hAnsi="Vazirmatn ExtraBold"/>
          <w:sz w:val="32"/>
          <w:szCs w:val="32"/>
          <w:rtl w:val="1"/>
        </w:rPr>
        <w:t xml:space="preserve"> ۳</w:t>
        <w:br w:type="textWrapping"/>
        <w:br w:type="textWrapping"/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نگار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باباشاه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(۹۹۱۰۹۳۲۵)</w:t>
        <w:br w:type="textWrapping"/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ایمان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محمدی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(۹۹۱۰۲۲۰۷)</w:t>
        <w:br w:type="textWrapping"/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آرمین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ثقفیان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(۹۹۱۰۵۳۴۵)</w:t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مهدی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صابر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(۹۹۱۰۵۵۲۶)</w:t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امیررضا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آران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Vazirmatn" w:cs="Vazirmatn" w:eastAsia="Vazirmatn" w:hAnsi="Vazirmatn"/>
          <w:sz w:val="28"/>
          <w:szCs w:val="28"/>
          <w:rtl w:val="1"/>
        </w:rPr>
        <w:t xml:space="preserve"> (۹۹۱۷۰۳۴۸)</w:t>
      </w:r>
    </w:p>
    <w:p w:rsidR="00000000" w:rsidDel="00000000" w:rsidP="00000000" w:rsidRDefault="00000000" w:rsidRPr="00000000" w14:paraId="00000009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rFonts w:ascii="Vazirmatn" w:cs="Vazirmatn" w:eastAsia="Vazirmatn" w:hAnsi="Vazirmat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rcef9vt2w6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استان</w:t>
            </w:r>
          </w:hyperlink>
          <w:hyperlink w:anchor="_brcef9vt2w6">
            <w:r w:rsidDel="00000000" w:rsidR="00000000" w:rsidRPr="00000000">
              <w:rPr>
                <w:b w:val="1"/>
                <w:rtl w:val="1"/>
              </w:rPr>
              <w:t xml:space="preserve">دارد</w:t>
            </w:r>
          </w:hyperlink>
          <w:hyperlink w:anchor="_brcef9vt2w6">
            <w:r w:rsidDel="00000000" w:rsidR="00000000" w:rsidRPr="00000000">
              <w:rPr>
                <w:b w:val="1"/>
                <w:rtl w:val="0"/>
              </w:rPr>
              <w:t xml:space="preserve"> </w:t>
            </w:r>
          </w:hyperlink>
          <w:hyperlink w:anchor="_brcef9vt2w6">
            <w:r w:rsidDel="00000000" w:rsidR="00000000" w:rsidRPr="00000000">
              <w:rPr>
                <w:b w:val="1"/>
                <w:rtl w:val="0"/>
              </w:rPr>
              <w:t xml:space="preserve">IEEE</w:t>
            </w:r>
          </w:hyperlink>
          <w:hyperlink w:anchor="_brcef9vt2w6">
            <w:r w:rsidDel="00000000" w:rsidR="00000000" w:rsidRPr="00000000">
              <w:rPr>
                <w:b w:val="1"/>
                <w:rtl w:val="0"/>
              </w:rPr>
              <w:t xml:space="preserve"> 12207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skmyobfiuwn">
            <w:r w:rsidDel="00000000" w:rsidR="00000000" w:rsidRPr="00000000">
              <w:rPr>
                <w:rtl w:val="1"/>
              </w:rPr>
              <w:t xml:space="preserve">مقد</w:t>
            </w:r>
          </w:hyperlink>
          <w:hyperlink w:anchor="_skmyobfiuwn">
            <w:r w:rsidDel="00000000" w:rsidR="00000000" w:rsidRPr="00000000">
              <w:rPr>
                <w:rtl w:val="1"/>
              </w:rPr>
              <w:t xml:space="preserve">مه</w:t>
            </w:r>
          </w:hyperlink>
          <w:hyperlink w:anchor="_skmyobfiuwn">
            <w:r w:rsidDel="00000000" w:rsidR="00000000" w:rsidRPr="00000000">
              <w:rPr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dka8s7k9bxz1">
            <w:r w:rsidDel="00000000" w:rsidR="00000000" w:rsidRPr="00000000">
              <w:rPr>
                <w:rtl w:val="1"/>
              </w:rPr>
              <w:t xml:space="preserve">هدف</w:t>
            </w:r>
          </w:hyperlink>
          <w:hyperlink w:anchor="_dka8s7k9bxz1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dka8s7k9bxz1">
            <w:r w:rsidDel="00000000" w:rsidR="00000000" w:rsidRPr="00000000">
              <w:rPr>
                <w:rtl w:val="1"/>
              </w:rPr>
              <w:t xml:space="preserve">استاندارد</w:t>
            </w:r>
          </w:hyperlink>
          <w:hyperlink w:anchor="_dka8s7k9bxz1">
            <w:r w:rsidDel="00000000" w:rsidR="00000000" w:rsidRPr="00000000">
              <w:rPr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r2gm2j5iuwmn">
            <w:r w:rsidDel="00000000" w:rsidR="00000000" w:rsidRPr="00000000">
              <w:rPr>
                <w:rtl w:val="1"/>
              </w:rPr>
              <w:t xml:space="preserve">تعریف</w:t>
            </w:r>
          </w:hyperlink>
          <w:hyperlink w:anchor="_r2gm2j5iuwmn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r2gm2j5iuwmn">
            <w:r w:rsidDel="00000000" w:rsidR="00000000" w:rsidRPr="00000000">
              <w:rPr>
                <w:rtl w:val="1"/>
              </w:rPr>
              <w:t xml:space="preserve">استاندارد</w:t>
            </w:r>
          </w:hyperlink>
          <w:hyperlink w:anchor="_r2gm2j5iuwmn">
            <w:r w:rsidDel="00000000" w:rsidR="00000000" w:rsidRPr="00000000">
              <w:rPr>
                <w:rtl w:val="0"/>
              </w:rPr>
              <w:t xml:space="preserve"> </w:t>
            </w:r>
          </w:hyperlink>
          <w:hyperlink w:anchor="_r2gm2j5iuwmn">
            <w:r w:rsidDel="00000000" w:rsidR="00000000" w:rsidRPr="00000000">
              <w:rPr>
                <w:rtl w:val="0"/>
              </w:rPr>
              <w:t xml:space="preserve">IEEE</w:t>
            </w:r>
          </w:hyperlink>
          <w:hyperlink w:anchor="_r2gm2j5iuwmn">
            <w:r w:rsidDel="00000000" w:rsidR="00000000" w:rsidRPr="00000000">
              <w:rPr>
                <w:rtl w:val="0"/>
              </w:rPr>
              <w:t xml:space="preserve"> 12207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wdf711r84v95">
            <w:r w:rsidDel="00000000" w:rsidR="00000000" w:rsidRPr="00000000">
              <w:rPr>
                <w:rtl w:val="1"/>
              </w:rPr>
              <w:t xml:space="preserve">حوزه</w:t>
            </w:r>
          </w:hyperlink>
          <w:hyperlink w:anchor="_wdf711r84v95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wdf711r84v95">
            <w:r w:rsidDel="00000000" w:rsidR="00000000" w:rsidRPr="00000000">
              <w:rPr>
                <w:rtl w:val="1"/>
              </w:rPr>
              <w:t xml:space="preserve">کاربرد</w:t>
            </w:r>
          </w:hyperlink>
          <w:hyperlink w:anchor="_wdf711r84v95">
            <w:r w:rsidDel="00000000" w:rsidR="00000000" w:rsidRPr="00000000">
              <w:rPr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6f41jq9lhs8r">
            <w:r w:rsidDel="00000000" w:rsidR="00000000" w:rsidRPr="00000000">
              <w:rPr>
                <w:rtl w:val="1"/>
              </w:rPr>
              <w:t xml:space="preserve">فرآیندهای</w:t>
            </w:r>
          </w:hyperlink>
          <w:hyperlink w:anchor="_6f41jq9lhs8r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6f41jq9lhs8r">
            <w:r w:rsidDel="00000000" w:rsidR="00000000" w:rsidRPr="00000000">
              <w:rPr>
                <w:rtl w:val="1"/>
              </w:rPr>
              <w:t xml:space="preserve">استاندارد</w:t>
            </w:r>
          </w:hyperlink>
          <w:hyperlink w:anchor="_6f41jq9lhs8r">
            <w:r w:rsidDel="00000000" w:rsidR="00000000" w:rsidRPr="00000000">
              <w:rPr>
                <w:rtl w:val="0"/>
              </w:rPr>
              <w:t xml:space="preserve"> </w:t>
            </w:r>
          </w:hyperlink>
          <w:hyperlink w:anchor="_6f41jq9lhs8r">
            <w:r w:rsidDel="00000000" w:rsidR="00000000" w:rsidRPr="00000000">
              <w:rPr>
                <w:rtl w:val="0"/>
              </w:rPr>
              <w:t xml:space="preserve">IEEE</w:t>
            </w:r>
          </w:hyperlink>
          <w:hyperlink w:anchor="_6f41jq9lhs8r">
            <w:r w:rsidDel="00000000" w:rsidR="00000000" w:rsidRPr="00000000">
              <w:rPr>
                <w:rtl w:val="0"/>
              </w:rPr>
              <w:t xml:space="preserve"> 12207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kdd5nza0e3yd">
            <w:r w:rsidDel="00000000" w:rsidR="00000000" w:rsidRPr="00000000">
              <w:rPr>
                <w:rtl w:val="1"/>
              </w:rPr>
              <w:t xml:space="preserve">اهمیت</w:t>
            </w:r>
          </w:hyperlink>
          <w:hyperlink w:anchor="_kdd5nza0e3yd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kdd5nza0e3yd">
            <w:r w:rsidDel="00000000" w:rsidR="00000000" w:rsidRPr="00000000">
              <w:rPr>
                <w:rtl w:val="1"/>
              </w:rPr>
              <w:t xml:space="preserve">آموزش</w:t>
            </w:r>
          </w:hyperlink>
          <w:hyperlink w:anchor="_kdd5nza0e3yd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kdd5nza0e3yd">
            <w:r w:rsidDel="00000000" w:rsidR="00000000" w:rsidRPr="00000000">
              <w:rPr>
                <w:rtl w:val="1"/>
              </w:rPr>
              <w:t xml:space="preserve">و</w:t>
            </w:r>
          </w:hyperlink>
          <w:hyperlink w:anchor="_kdd5nza0e3yd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kdd5nza0e3yd">
            <w:r w:rsidDel="00000000" w:rsidR="00000000" w:rsidRPr="00000000">
              <w:rPr>
                <w:rtl w:val="1"/>
              </w:rPr>
              <w:t xml:space="preserve">توسعه</w:t>
            </w:r>
          </w:hyperlink>
          <w:hyperlink w:anchor="_kdd5nza0e3yd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kdd5nza0e3yd">
            <w:r w:rsidDel="00000000" w:rsidR="00000000" w:rsidRPr="00000000">
              <w:rPr>
                <w:rtl w:val="1"/>
              </w:rPr>
              <w:t xml:space="preserve">مهارت</w:t>
            </w:r>
          </w:hyperlink>
          <w:hyperlink w:anchor="_kdd5nza0e3yd">
            <w:r w:rsidDel="00000000" w:rsidR="00000000" w:rsidRPr="00000000">
              <w:rPr>
                <w:rtl w:val="1"/>
              </w:rPr>
              <w:t xml:space="preserve">‌</w:t>
            </w:r>
          </w:hyperlink>
          <w:hyperlink w:anchor="_kdd5nza0e3yd">
            <w:r w:rsidDel="00000000" w:rsidR="00000000" w:rsidRPr="00000000">
              <w:rPr>
                <w:rtl w:val="1"/>
              </w:rPr>
              <w:t xml:space="preserve">ها</w:t>
            </w:r>
          </w:hyperlink>
          <w:hyperlink w:anchor="_kdd5nza0e3yd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v6j3la6c0b9z">
            <w:r w:rsidDel="00000000" w:rsidR="00000000" w:rsidRPr="00000000">
              <w:rPr>
                <w:rtl w:val="1"/>
              </w:rPr>
              <w:t xml:space="preserve">چالش</w:t>
            </w:r>
          </w:hyperlink>
          <w:hyperlink w:anchor="_v6j3la6c0b9z">
            <w:r w:rsidDel="00000000" w:rsidR="00000000" w:rsidRPr="00000000">
              <w:rPr>
                <w:rtl w:val="1"/>
              </w:rPr>
              <w:t xml:space="preserve">‌</w:t>
            </w:r>
          </w:hyperlink>
          <w:hyperlink w:anchor="_v6j3la6c0b9z">
            <w:r w:rsidDel="00000000" w:rsidR="00000000" w:rsidRPr="00000000">
              <w:rPr>
                <w:rtl w:val="1"/>
              </w:rPr>
              <w:t xml:space="preserve">های</w:t>
            </w:r>
          </w:hyperlink>
          <w:hyperlink w:anchor="_v6j3la6c0b9z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v6j3la6c0b9z">
            <w:r w:rsidDel="00000000" w:rsidR="00000000" w:rsidRPr="00000000">
              <w:rPr>
                <w:rtl w:val="1"/>
              </w:rPr>
              <w:t xml:space="preserve">پیاده</w:t>
            </w:r>
          </w:hyperlink>
          <w:hyperlink w:anchor="_v6j3la6c0b9z">
            <w:r w:rsidDel="00000000" w:rsidR="00000000" w:rsidRPr="00000000">
              <w:rPr>
                <w:rtl w:val="1"/>
              </w:rPr>
              <w:t xml:space="preserve">‌</w:t>
            </w:r>
          </w:hyperlink>
          <w:hyperlink w:anchor="_v6j3la6c0b9z">
            <w:r w:rsidDel="00000000" w:rsidR="00000000" w:rsidRPr="00000000">
              <w:rPr>
                <w:rtl w:val="1"/>
              </w:rPr>
              <w:t xml:space="preserve">سازی</w:t>
            </w:r>
          </w:hyperlink>
          <w:hyperlink w:anchor="_v6j3la6c0b9z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tezimfp4xr4n">
            <w:r w:rsidDel="00000000" w:rsidR="00000000" w:rsidRPr="00000000">
              <w:rPr>
                <w:rtl w:val="1"/>
              </w:rPr>
              <w:t xml:space="preserve">فرصت</w:t>
            </w:r>
          </w:hyperlink>
          <w:hyperlink w:anchor="_tezimfp4xr4n">
            <w:r w:rsidDel="00000000" w:rsidR="00000000" w:rsidRPr="00000000">
              <w:rPr>
                <w:rtl w:val="1"/>
              </w:rPr>
              <w:t xml:space="preserve">‌</w:t>
            </w:r>
          </w:hyperlink>
          <w:hyperlink w:anchor="_tezimfp4xr4n">
            <w:r w:rsidDel="00000000" w:rsidR="00000000" w:rsidRPr="00000000">
              <w:rPr>
                <w:rtl w:val="1"/>
              </w:rPr>
              <w:t xml:space="preserve">های</w:t>
            </w:r>
          </w:hyperlink>
          <w:hyperlink w:anchor="_tezimfp4xr4n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tezimfp4xr4n">
            <w:r w:rsidDel="00000000" w:rsidR="00000000" w:rsidRPr="00000000">
              <w:rPr>
                <w:rtl w:val="1"/>
              </w:rPr>
              <w:t xml:space="preserve">بهبود</w:t>
            </w:r>
          </w:hyperlink>
          <w:hyperlink w:anchor="_tezimfp4xr4n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tezimfp4xr4n">
            <w:r w:rsidDel="00000000" w:rsidR="00000000" w:rsidRPr="00000000">
              <w:rPr>
                <w:rtl w:val="1"/>
              </w:rPr>
              <w:t xml:space="preserve">و</w:t>
            </w:r>
          </w:hyperlink>
          <w:hyperlink w:anchor="_tezimfp4xr4n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tezimfp4xr4n">
            <w:r w:rsidDel="00000000" w:rsidR="00000000" w:rsidRPr="00000000">
              <w:rPr>
                <w:rtl w:val="1"/>
              </w:rPr>
              <w:t xml:space="preserve">نوآوری</w:t>
            </w:r>
          </w:hyperlink>
          <w:hyperlink w:anchor="_tezimfp4xr4n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dy17i6iu6sn4">
            <w:r w:rsidDel="00000000" w:rsidR="00000000" w:rsidRPr="00000000">
              <w:rPr>
                <w:rtl w:val="1"/>
              </w:rPr>
              <w:t xml:space="preserve">ادغام</w:t>
            </w:r>
          </w:hyperlink>
          <w:hyperlink w:anchor="_dy17i6iu6sn4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dy17i6iu6sn4">
            <w:r w:rsidDel="00000000" w:rsidR="00000000" w:rsidRPr="00000000">
              <w:rPr>
                <w:rtl w:val="1"/>
              </w:rPr>
              <w:t xml:space="preserve">با</w:t>
            </w:r>
          </w:hyperlink>
          <w:hyperlink w:anchor="_dy17i6iu6sn4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dy17i6iu6sn4">
            <w:r w:rsidDel="00000000" w:rsidR="00000000" w:rsidRPr="00000000">
              <w:rPr>
                <w:rtl w:val="1"/>
              </w:rPr>
              <w:t xml:space="preserve">استانداردهای</w:t>
            </w:r>
          </w:hyperlink>
          <w:hyperlink w:anchor="_dy17i6iu6sn4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dy17i6iu6sn4">
            <w:r w:rsidDel="00000000" w:rsidR="00000000" w:rsidRPr="00000000">
              <w:rPr>
                <w:rtl w:val="1"/>
              </w:rPr>
              <w:t xml:space="preserve">دیگر</w:t>
            </w:r>
          </w:hyperlink>
          <w:hyperlink w:anchor="_dy17i6iu6sn4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10</w:t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183j1khfgayx">
            <w:r w:rsidDel="00000000" w:rsidR="00000000" w:rsidRPr="00000000">
              <w:rPr>
                <w:rtl w:val="1"/>
              </w:rPr>
              <w:t xml:space="preserve">فناوری</w:t>
            </w:r>
          </w:hyperlink>
          <w:hyperlink w:anchor="_183j1khfgayx">
            <w:r w:rsidDel="00000000" w:rsidR="00000000" w:rsidRPr="00000000">
              <w:rPr>
                <w:rtl w:val="1"/>
              </w:rPr>
              <w:t xml:space="preserve">‌</w:t>
            </w:r>
          </w:hyperlink>
          <w:hyperlink w:anchor="_183j1khfgayx">
            <w:r w:rsidDel="00000000" w:rsidR="00000000" w:rsidRPr="00000000">
              <w:rPr>
                <w:rtl w:val="1"/>
              </w:rPr>
              <w:t xml:space="preserve">های</w:t>
            </w:r>
          </w:hyperlink>
          <w:hyperlink w:anchor="_183j1khfgayx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183j1khfgayx">
            <w:r w:rsidDel="00000000" w:rsidR="00000000" w:rsidRPr="00000000">
              <w:rPr>
                <w:rtl w:val="1"/>
              </w:rPr>
              <w:t xml:space="preserve">نوین</w:t>
            </w:r>
          </w:hyperlink>
          <w:hyperlink w:anchor="_183j1khfgayx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183j1khfgayx">
            <w:r w:rsidDel="00000000" w:rsidR="00000000" w:rsidRPr="00000000">
              <w:rPr>
                <w:rtl w:val="1"/>
              </w:rPr>
              <w:t xml:space="preserve">و</w:t>
            </w:r>
          </w:hyperlink>
          <w:hyperlink w:anchor="_183j1khfgayx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183j1khfgayx">
            <w:r w:rsidDel="00000000" w:rsidR="00000000" w:rsidRPr="00000000">
              <w:rPr>
                <w:rtl w:val="1"/>
              </w:rPr>
              <w:t xml:space="preserve">استاندارد</w:t>
            </w:r>
          </w:hyperlink>
          <w:hyperlink w:anchor="_183j1khfgayx">
            <w:r w:rsidDel="00000000" w:rsidR="00000000" w:rsidRPr="00000000">
              <w:rPr>
                <w:rtl w:val="0"/>
              </w:rPr>
              <w:t xml:space="preserve"> </w:t>
            </w:r>
          </w:hyperlink>
          <w:hyperlink w:anchor="_183j1khfgayx">
            <w:r w:rsidDel="00000000" w:rsidR="00000000" w:rsidRPr="00000000">
              <w:rPr>
                <w:rtl w:val="0"/>
              </w:rPr>
              <w:t xml:space="preserve">IEEE</w:t>
            </w:r>
          </w:hyperlink>
          <w:hyperlink w:anchor="_183j1khfgayx">
            <w:r w:rsidDel="00000000" w:rsidR="00000000" w:rsidRPr="00000000">
              <w:rPr>
                <w:rtl w:val="0"/>
              </w:rPr>
              <w:t xml:space="preserve"> 12</w:t>
            </w:r>
          </w:hyperlink>
          <w:hyperlink w:anchor="_183j1khfgayx">
            <w:r w:rsidDel="00000000" w:rsidR="00000000" w:rsidRPr="00000000">
              <w:rPr>
                <w:rtl w:val="0"/>
              </w:rPr>
              <w:t xml:space="preserve">207</w:t>
              <w:tab/>
            </w:r>
          </w:hyperlink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3idh11toiphz">
            <w:r w:rsidDel="00000000" w:rsidR="00000000" w:rsidRPr="00000000">
              <w:rPr>
                <w:rtl w:val="1"/>
              </w:rPr>
              <w:t xml:space="preserve">آینده</w:t>
            </w:r>
          </w:hyperlink>
          <w:hyperlink w:anchor="_3idh11toiphz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3idh11toiphz">
            <w:r w:rsidDel="00000000" w:rsidR="00000000" w:rsidRPr="00000000">
              <w:rPr>
                <w:rtl w:val="1"/>
              </w:rPr>
              <w:t xml:space="preserve">استاندارد</w:t>
            </w:r>
          </w:hyperlink>
          <w:hyperlink w:anchor="_3idh11toiphz">
            <w:r w:rsidDel="00000000" w:rsidR="00000000" w:rsidRPr="00000000">
              <w:rPr>
                <w:rtl w:val="0"/>
              </w:rPr>
              <w:t xml:space="preserve"> </w:t>
            </w:r>
          </w:hyperlink>
          <w:hyperlink w:anchor="_3idh11toiphz">
            <w:r w:rsidDel="00000000" w:rsidR="00000000" w:rsidRPr="00000000">
              <w:rPr>
                <w:rtl w:val="0"/>
              </w:rPr>
              <w:t xml:space="preserve">IEEE</w:t>
            </w:r>
          </w:hyperlink>
          <w:hyperlink w:anchor="_3idh11toiphz">
            <w:r w:rsidDel="00000000" w:rsidR="00000000" w:rsidRPr="00000000">
              <w:rPr>
                <w:rtl w:val="0"/>
              </w:rPr>
              <w:t xml:space="preserve"> 12207</w:t>
              <w:tab/>
            </w:r>
          </w:hyperlink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fvhxykk2fgdo">
            <w:r w:rsidDel="00000000" w:rsidR="00000000" w:rsidRPr="00000000">
              <w:rPr>
                <w:rtl w:val="1"/>
              </w:rPr>
              <w:t xml:space="preserve">ترویج</w:t>
            </w:r>
          </w:hyperlink>
          <w:hyperlink w:anchor="_fvhxykk2fgdo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fvhxykk2fgdo">
            <w:r w:rsidDel="00000000" w:rsidR="00000000" w:rsidRPr="00000000">
              <w:rPr>
                <w:rtl w:val="1"/>
              </w:rPr>
              <w:t xml:space="preserve">فرهنگ</w:t>
            </w:r>
          </w:hyperlink>
          <w:hyperlink w:anchor="_fvhxykk2fgdo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fvhxykk2fgdo">
            <w:r w:rsidDel="00000000" w:rsidR="00000000" w:rsidRPr="00000000">
              <w:rPr>
                <w:rtl w:val="1"/>
              </w:rPr>
              <w:t xml:space="preserve">نوآوری</w:t>
            </w:r>
          </w:hyperlink>
          <w:hyperlink w:anchor="_fvhxykk2fgdo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68p1fubm7vg8">
            <w:r w:rsidDel="00000000" w:rsidR="00000000" w:rsidRPr="00000000">
              <w:rPr>
                <w:rtl w:val="1"/>
              </w:rPr>
              <w:t xml:space="preserve">مشارکت</w:t>
            </w:r>
          </w:hyperlink>
          <w:hyperlink w:anchor="_68p1fubm7vg8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68p1fubm7vg8">
            <w:r w:rsidDel="00000000" w:rsidR="00000000" w:rsidRPr="00000000">
              <w:rPr>
                <w:rtl w:val="1"/>
              </w:rPr>
              <w:t xml:space="preserve">جامعه</w:t>
            </w:r>
          </w:hyperlink>
          <w:hyperlink w:anchor="_68p1fubm7vg8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68p1fubm7vg8">
            <w:r w:rsidDel="00000000" w:rsidR="00000000" w:rsidRPr="00000000">
              <w:rPr>
                <w:rtl w:val="1"/>
              </w:rPr>
              <w:t xml:space="preserve">بین</w:t>
            </w:r>
          </w:hyperlink>
          <w:hyperlink w:anchor="_68p1fubm7vg8">
            <w:r w:rsidDel="00000000" w:rsidR="00000000" w:rsidRPr="00000000">
              <w:rPr>
                <w:rtl w:val="1"/>
              </w:rPr>
              <w:t xml:space="preserve">‌</w:t>
            </w:r>
          </w:hyperlink>
          <w:hyperlink w:anchor="_68p1fubm7vg8">
            <w:r w:rsidDel="00000000" w:rsidR="00000000" w:rsidRPr="00000000">
              <w:rPr>
                <w:rtl w:val="1"/>
              </w:rPr>
              <w:t xml:space="preserve">المللی</w:t>
            </w:r>
          </w:hyperlink>
          <w:hyperlink w:anchor="_68p1fubm7vg8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ttpnacnh6y7b">
            <w:r w:rsidDel="00000000" w:rsidR="00000000" w:rsidRPr="00000000">
              <w:rPr>
                <w:rtl w:val="1"/>
              </w:rPr>
              <w:t xml:space="preserve">تاکید</w:t>
            </w:r>
          </w:hyperlink>
          <w:hyperlink w:anchor="_ttpnacnh6y7b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ttpnacnh6y7b">
            <w:r w:rsidDel="00000000" w:rsidR="00000000" w:rsidRPr="00000000">
              <w:rPr>
                <w:rtl w:val="1"/>
              </w:rPr>
              <w:t xml:space="preserve">بر</w:t>
            </w:r>
          </w:hyperlink>
          <w:hyperlink w:anchor="_ttpnacnh6y7b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ttpnacnh6y7b">
            <w:r w:rsidDel="00000000" w:rsidR="00000000" w:rsidRPr="00000000">
              <w:rPr>
                <w:rtl w:val="1"/>
              </w:rPr>
              <w:t xml:space="preserve">انطباق</w:t>
            </w:r>
          </w:hyperlink>
          <w:hyperlink w:anchor="_ttpnacnh6y7b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ttpnacnh6y7b">
            <w:r w:rsidDel="00000000" w:rsidR="00000000" w:rsidRPr="00000000">
              <w:rPr>
                <w:rtl w:val="1"/>
              </w:rPr>
              <w:t xml:space="preserve">و</w:t>
            </w:r>
          </w:hyperlink>
          <w:hyperlink w:anchor="_ttpnacnh6y7b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ttpnacnh6y7b">
            <w:r w:rsidDel="00000000" w:rsidR="00000000" w:rsidRPr="00000000">
              <w:rPr>
                <w:rtl w:val="1"/>
              </w:rPr>
              <w:t xml:space="preserve">قابلیت</w:t>
            </w:r>
          </w:hyperlink>
          <w:hyperlink w:anchor="_ttpnacnh6y7b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ttpnacnh6y7b">
            <w:r w:rsidDel="00000000" w:rsidR="00000000" w:rsidRPr="00000000">
              <w:rPr>
                <w:rtl w:val="1"/>
              </w:rPr>
              <w:t xml:space="preserve">اطمینان</w:t>
            </w:r>
          </w:hyperlink>
          <w:hyperlink w:anchor="_ttpnacnh6y7b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8z2lcgngtf5y">
            <w:r w:rsidDel="00000000" w:rsidR="00000000" w:rsidRPr="00000000">
              <w:rPr>
                <w:rtl w:val="1"/>
              </w:rPr>
              <w:t xml:space="preserve">پیاده</w:t>
            </w:r>
          </w:hyperlink>
          <w:hyperlink w:anchor="_8z2lcgngtf5y">
            <w:r w:rsidDel="00000000" w:rsidR="00000000" w:rsidRPr="00000000">
              <w:rPr>
                <w:rtl w:val="1"/>
              </w:rPr>
              <w:t xml:space="preserve">‌</w:t>
            </w:r>
          </w:hyperlink>
          <w:hyperlink w:anchor="_8z2lcgngtf5y">
            <w:r w:rsidDel="00000000" w:rsidR="00000000" w:rsidRPr="00000000">
              <w:rPr>
                <w:rtl w:val="1"/>
              </w:rPr>
              <w:t xml:space="preserve">سازی</w:t>
            </w:r>
          </w:hyperlink>
          <w:hyperlink w:anchor="_8z2lcgngtf5y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8z2lcgngtf5y">
            <w:r w:rsidDel="00000000" w:rsidR="00000000" w:rsidRPr="00000000">
              <w:rPr>
                <w:rtl w:val="1"/>
              </w:rPr>
              <w:t xml:space="preserve">استاندارد</w:t>
            </w:r>
          </w:hyperlink>
          <w:hyperlink w:anchor="_8z2lcgngtf5y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8z2lcgngtf5y">
            <w:r w:rsidDel="00000000" w:rsidR="00000000" w:rsidRPr="00000000">
              <w:rPr>
                <w:rtl w:val="1"/>
              </w:rPr>
              <w:t xml:space="preserve">در</w:t>
            </w:r>
          </w:hyperlink>
          <w:hyperlink w:anchor="_8z2lcgngtf5y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8z2lcgngtf5y">
            <w:r w:rsidDel="00000000" w:rsidR="00000000" w:rsidRPr="00000000">
              <w:rPr>
                <w:rtl w:val="1"/>
              </w:rPr>
              <w:t xml:space="preserve">سازمان</w:t>
            </w:r>
          </w:hyperlink>
          <w:hyperlink w:anchor="_8z2lcgngtf5y">
            <w:r w:rsidDel="00000000" w:rsidR="00000000" w:rsidRPr="00000000">
              <w:rPr>
                <w:rtl w:val="1"/>
              </w:rPr>
              <w:t xml:space="preserve">‌</w:t>
            </w:r>
          </w:hyperlink>
          <w:hyperlink w:anchor="_8z2lcgngtf5y">
            <w:r w:rsidDel="00000000" w:rsidR="00000000" w:rsidRPr="00000000">
              <w:rPr>
                <w:rtl w:val="1"/>
              </w:rPr>
              <w:t xml:space="preserve">های</w:t>
            </w:r>
          </w:hyperlink>
          <w:hyperlink w:anchor="_8z2lcgngtf5y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8z2lcgngtf5y">
            <w:r w:rsidDel="00000000" w:rsidR="00000000" w:rsidRPr="00000000">
              <w:rPr>
                <w:rtl w:val="1"/>
              </w:rPr>
              <w:t xml:space="preserve">کوچک</w:t>
            </w:r>
          </w:hyperlink>
          <w:hyperlink w:anchor="_8z2lcgngtf5y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8z2lcgngtf5y">
            <w:r w:rsidDel="00000000" w:rsidR="00000000" w:rsidRPr="00000000">
              <w:rPr>
                <w:rtl w:val="1"/>
              </w:rPr>
              <w:t xml:space="preserve">و</w:t>
            </w:r>
          </w:hyperlink>
          <w:hyperlink w:anchor="_8z2lcgngtf5y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8z2lcgngtf5y">
            <w:r w:rsidDel="00000000" w:rsidR="00000000" w:rsidRPr="00000000">
              <w:rPr>
                <w:rtl w:val="1"/>
              </w:rPr>
              <w:t xml:space="preserve">متوسط</w:t>
            </w:r>
          </w:hyperlink>
          <w:hyperlink w:anchor="_8z2lcgngtf5y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niyfllnn04m8">
            <w:r w:rsidDel="00000000" w:rsidR="00000000" w:rsidRPr="00000000">
              <w:rPr>
                <w:rtl w:val="1"/>
              </w:rPr>
              <w:t xml:space="preserve">نقش</w:t>
            </w:r>
          </w:hyperlink>
          <w:hyperlink w:anchor="_niyfllnn04m8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niyfllnn04m8">
            <w:r w:rsidDel="00000000" w:rsidR="00000000" w:rsidRPr="00000000">
              <w:rPr>
                <w:rtl w:val="1"/>
              </w:rPr>
              <w:t xml:space="preserve">فناوری</w:t>
            </w:r>
          </w:hyperlink>
          <w:hyperlink w:anchor="_niyfllnn04m8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niyfllnn04m8">
            <w:r w:rsidDel="00000000" w:rsidR="00000000" w:rsidRPr="00000000">
              <w:rPr>
                <w:rtl w:val="1"/>
              </w:rPr>
              <w:t xml:space="preserve">در</w:t>
            </w:r>
          </w:hyperlink>
          <w:hyperlink w:anchor="_niyfllnn04m8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niyfllnn04m8">
            <w:r w:rsidDel="00000000" w:rsidR="00000000" w:rsidRPr="00000000">
              <w:rPr>
                <w:rtl w:val="1"/>
              </w:rPr>
              <w:t xml:space="preserve">پیشبرد</w:t>
            </w:r>
          </w:hyperlink>
          <w:hyperlink w:anchor="_niyfllnn04m8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niyfllnn04m8">
            <w:r w:rsidDel="00000000" w:rsidR="00000000" w:rsidRPr="00000000">
              <w:rPr>
                <w:rtl w:val="1"/>
              </w:rPr>
              <w:t xml:space="preserve">استاندارد</w:t>
            </w:r>
          </w:hyperlink>
          <w:hyperlink w:anchor="_niyfllnn04m8">
            <w:r w:rsidDel="00000000" w:rsidR="00000000" w:rsidRPr="00000000">
              <w:rPr>
                <w:rtl w:val="0"/>
              </w:rPr>
              <w:t xml:space="preserve"> </w:t>
            </w:r>
          </w:hyperlink>
          <w:hyperlink w:anchor="_niyfllnn04m8">
            <w:r w:rsidDel="00000000" w:rsidR="00000000" w:rsidRPr="00000000">
              <w:rPr>
                <w:rtl w:val="0"/>
              </w:rPr>
              <w:t xml:space="preserve">IEEE</w:t>
            </w:r>
          </w:hyperlink>
          <w:hyperlink w:anchor="_niyfllnn04m8">
            <w:r w:rsidDel="00000000" w:rsidR="00000000" w:rsidRPr="00000000">
              <w:rPr>
                <w:rtl w:val="0"/>
              </w:rPr>
              <w:t xml:space="preserve"> 12207</w:t>
              <w:tab/>
            </w:r>
          </w:hyperlink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x6gyqgto9e1s">
            <w:r w:rsidDel="00000000" w:rsidR="00000000" w:rsidRPr="00000000">
              <w:rPr>
                <w:rtl w:val="1"/>
              </w:rPr>
              <w:t xml:space="preserve">تعهد</w:t>
            </w:r>
          </w:hyperlink>
          <w:hyperlink w:anchor="_x6gyqgto9e1s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x6gyqgto9e1s">
            <w:r w:rsidDel="00000000" w:rsidR="00000000" w:rsidRPr="00000000">
              <w:rPr>
                <w:rtl w:val="1"/>
              </w:rPr>
              <w:t xml:space="preserve">به</w:t>
            </w:r>
          </w:hyperlink>
          <w:hyperlink w:anchor="_x6gyqgto9e1s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x6gyqgto9e1s">
            <w:r w:rsidDel="00000000" w:rsidR="00000000" w:rsidRPr="00000000">
              <w:rPr>
                <w:rtl w:val="1"/>
              </w:rPr>
              <w:t xml:space="preserve">بهبود</w:t>
            </w:r>
          </w:hyperlink>
          <w:hyperlink w:anchor="_x6gyqgto9e1s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x6gyqgto9e1s">
            <w:r w:rsidDel="00000000" w:rsidR="00000000" w:rsidRPr="00000000">
              <w:rPr>
                <w:rtl w:val="1"/>
              </w:rPr>
              <w:t xml:space="preserve">مستمر</w:t>
            </w:r>
          </w:hyperlink>
          <w:hyperlink w:anchor="_x6gyqgto9e1s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2u6io76l6srx">
            <w:r w:rsidDel="00000000" w:rsidR="00000000" w:rsidRPr="00000000">
              <w:rPr>
                <w:rtl w:val="1"/>
              </w:rPr>
              <w:t xml:space="preserve">فرهنگ</w:t>
            </w:r>
          </w:hyperlink>
          <w:hyperlink w:anchor="_2u6io76l6srx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2u6io76l6srx">
            <w:r w:rsidDel="00000000" w:rsidR="00000000" w:rsidRPr="00000000">
              <w:rPr>
                <w:rtl w:val="1"/>
              </w:rPr>
              <w:t xml:space="preserve">پذیرش</w:t>
            </w:r>
          </w:hyperlink>
          <w:hyperlink w:anchor="_2u6io76l6srx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2u6io76l6srx">
            <w:r w:rsidDel="00000000" w:rsidR="00000000" w:rsidRPr="00000000">
              <w:rPr>
                <w:rtl w:val="1"/>
              </w:rPr>
              <w:t xml:space="preserve">تغییر</w:t>
            </w:r>
          </w:hyperlink>
          <w:hyperlink w:anchor="_2u6io76l6srx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6gt4f04ghqfg">
            <w:r w:rsidDel="00000000" w:rsidR="00000000" w:rsidRPr="00000000">
              <w:rPr>
                <w:rtl w:val="1"/>
              </w:rPr>
              <w:t xml:space="preserve">آینده</w:t>
            </w:r>
          </w:hyperlink>
          <w:hyperlink w:anchor="_6gt4f04ghqfg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6gt4f04ghqfg">
            <w:r w:rsidDel="00000000" w:rsidR="00000000" w:rsidRPr="00000000">
              <w:rPr>
                <w:rtl w:val="1"/>
              </w:rPr>
              <w:t xml:space="preserve">و</w:t>
            </w:r>
          </w:hyperlink>
          <w:hyperlink w:anchor="_6gt4f04ghqfg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6gt4f04ghqfg">
            <w:r w:rsidDel="00000000" w:rsidR="00000000" w:rsidRPr="00000000">
              <w:rPr>
                <w:rtl w:val="1"/>
              </w:rPr>
              <w:t xml:space="preserve">چشم</w:t>
            </w:r>
          </w:hyperlink>
          <w:hyperlink w:anchor="_6gt4f04ghqfg">
            <w:r w:rsidDel="00000000" w:rsidR="00000000" w:rsidRPr="00000000">
              <w:rPr>
                <w:rtl w:val="1"/>
              </w:rPr>
              <w:t xml:space="preserve">‌</w:t>
            </w:r>
          </w:hyperlink>
          <w:hyperlink w:anchor="_6gt4f04ghqfg">
            <w:r w:rsidDel="00000000" w:rsidR="00000000" w:rsidRPr="00000000">
              <w:rPr>
                <w:rtl w:val="1"/>
              </w:rPr>
              <w:t xml:space="preserve">انداز</w:t>
            </w:r>
          </w:hyperlink>
          <w:hyperlink w:anchor="_6gt4f04ghqfg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wtw5uy3jsvgo">
            <w:r w:rsidDel="00000000" w:rsidR="00000000" w:rsidRPr="00000000">
              <w:rPr>
                <w:rtl w:val="1"/>
              </w:rPr>
              <w:t xml:space="preserve">تقویت</w:t>
            </w:r>
          </w:hyperlink>
          <w:hyperlink w:anchor="_wtw5uy3jsvgo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wtw5uy3jsvgo">
            <w:r w:rsidDel="00000000" w:rsidR="00000000" w:rsidRPr="00000000">
              <w:rPr>
                <w:rtl w:val="1"/>
              </w:rPr>
              <w:t xml:space="preserve">همکاری</w:t>
            </w:r>
          </w:hyperlink>
          <w:hyperlink w:anchor="_wtw5uy3jsvgo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wtw5uy3jsvgo">
            <w:r w:rsidDel="00000000" w:rsidR="00000000" w:rsidRPr="00000000">
              <w:rPr>
                <w:rtl w:val="1"/>
              </w:rPr>
              <w:t xml:space="preserve">بین</w:t>
            </w:r>
          </w:hyperlink>
          <w:hyperlink w:anchor="_wtw5uy3jsvgo">
            <w:r w:rsidDel="00000000" w:rsidR="00000000" w:rsidRPr="00000000">
              <w:rPr>
                <w:rtl w:val="1"/>
              </w:rPr>
              <w:t xml:space="preserve">‌</w:t>
            </w:r>
          </w:hyperlink>
          <w:hyperlink w:anchor="_wtw5uy3jsvgo">
            <w:r w:rsidDel="00000000" w:rsidR="00000000" w:rsidRPr="00000000">
              <w:rPr>
                <w:rtl w:val="1"/>
              </w:rPr>
              <w:t xml:space="preserve">المللی</w:t>
            </w:r>
          </w:hyperlink>
          <w:hyperlink w:anchor="_wtw5uy3jsvgo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i0mlja37p7ll">
            <w:r w:rsidDel="00000000" w:rsidR="00000000" w:rsidRPr="00000000">
              <w:rPr>
                <w:rtl w:val="1"/>
              </w:rPr>
              <w:t xml:space="preserve">دورنمای</w:t>
            </w:r>
          </w:hyperlink>
          <w:hyperlink w:anchor="_i0mlja37p7ll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i0mlja37p7ll">
            <w:r w:rsidDel="00000000" w:rsidR="00000000" w:rsidRPr="00000000">
              <w:rPr>
                <w:rtl w:val="1"/>
              </w:rPr>
              <w:t xml:space="preserve">کاربرد</w:t>
            </w:r>
          </w:hyperlink>
          <w:hyperlink w:anchor="_i0mlja37p7ll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i0mlja37p7ll">
            <w:r w:rsidDel="00000000" w:rsidR="00000000" w:rsidRPr="00000000">
              <w:rPr>
                <w:rtl w:val="1"/>
              </w:rPr>
              <w:t xml:space="preserve">در</w:t>
            </w:r>
          </w:hyperlink>
          <w:hyperlink w:anchor="_i0mlja37p7ll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i0mlja37p7ll">
            <w:r w:rsidDel="00000000" w:rsidR="00000000" w:rsidRPr="00000000">
              <w:rPr>
                <w:rtl w:val="1"/>
              </w:rPr>
              <w:t xml:space="preserve">صنایع</w:t>
            </w:r>
          </w:hyperlink>
          <w:hyperlink w:anchor="_i0mlja37p7ll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i0mlja37p7ll">
            <w:r w:rsidDel="00000000" w:rsidR="00000000" w:rsidRPr="00000000">
              <w:rPr>
                <w:rtl w:val="1"/>
              </w:rPr>
              <w:t xml:space="preserve">مختلف</w:t>
            </w:r>
          </w:hyperlink>
          <w:hyperlink w:anchor="_i0mlja37p7ll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81pt54juwabw">
            <w:r w:rsidDel="00000000" w:rsidR="00000000" w:rsidRPr="00000000">
              <w:rPr>
                <w:rtl w:val="1"/>
              </w:rPr>
              <w:t xml:space="preserve">جمع</w:t>
            </w:r>
          </w:hyperlink>
          <w:hyperlink w:anchor="_81pt54juwabw">
            <w:r w:rsidDel="00000000" w:rsidR="00000000" w:rsidRPr="00000000">
              <w:rPr>
                <w:rtl w:val="1"/>
              </w:rPr>
              <w:t xml:space="preserve">‌</w:t>
            </w:r>
          </w:hyperlink>
          <w:hyperlink w:anchor="_81pt54juwabw">
            <w:r w:rsidDel="00000000" w:rsidR="00000000" w:rsidRPr="00000000">
              <w:rPr>
                <w:rtl w:val="1"/>
              </w:rPr>
              <w:t xml:space="preserve">بندی</w:t>
            </w:r>
          </w:hyperlink>
          <w:hyperlink w:anchor="_81pt54juwabw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/>
          </w:pPr>
          <w:hyperlink w:anchor="_zay7qod427fr">
            <w:r w:rsidDel="00000000" w:rsidR="00000000" w:rsidRPr="00000000">
              <w:rPr>
                <w:rtl w:val="1"/>
              </w:rPr>
              <w:t xml:space="preserve">منابع</w:t>
            </w:r>
          </w:hyperlink>
          <w:hyperlink w:anchor="_zay7qod427fr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bidi w:val="1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bidi w:val="1"/>
        <w:rPr/>
      </w:pPr>
      <w:bookmarkStart w:colFirst="0" w:colLast="0" w:name="_brcef9vt2w6" w:id="0"/>
      <w:bookmarkEnd w:id="0"/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</w:t>
      </w:r>
    </w:p>
    <w:p w:rsidR="00000000" w:rsidDel="00000000" w:rsidP="00000000" w:rsidRDefault="00000000" w:rsidRPr="00000000" w14:paraId="00000027">
      <w:pPr>
        <w:pStyle w:val="Heading1"/>
        <w:bidi w:val="1"/>
        <w:jc w:val="both"/>
        <w:rPr>
          <w:sz w:val="38"/>
          <w:szCs w:val="38"/>
        </w:rPr>
      </w:pPr>
      <w:bookmarkStart w:colFirst="0" w:colLast="0" w:name="_tk48yqy2zgm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both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گزارش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توصیف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استاندارد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0"/>
        </w:rPr>
        <w:t xml:space="preserve">IEEE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12207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پرداخته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ایم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کمی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درباره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استانداردها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تاریخچه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پرداخته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ساختار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کلیدی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کاربردها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تفاوت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سایر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استاندارد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مشابه</w:t>
      </w:r>
      <w:r w:rsidDel="00000000" w:rsidR="00000000" w:rsidRPr="00000000">
        <w:rPr>
          <w:rFonts w:ascii="Vazirmatn" w:cs="Vazirmatn" w:eastAsia="Vazirmatn" w:hAnsi="Vazirmatn"/>
          <w:sz w:val="26"/>
          <w:szCs w:val="26"/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both"/>
        <w:rPr>
          <w:rFonts w:ascii="Vazirmatn" w:cs="Vazirmatn" w:eastAsia="Vazirmatn" w:hAnsi="Vazirmat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bidi w:val="1"/>
        <w:rPr>
          <w:rFonts w:ascii="Vazirmatn SemiBold" w:cs="Vazirmatn SemiBold" w:eastAsia="Vazirmatn SemiBold" w:hAnsi="Vazirmatn SemiBold"/>
        </w:rPr>
      </w:pPr>
      <w:bookmarkStart w:colFirst="0" w:colLast="0" w:name="_skmyobfiuwn" w:id="2"/>
      <w:bookmarkEnd w:id="2"/>
      <w:r w:rsidDel="00000000" w:rsidR="00000000" w:rsidRPr="00000000">
        <w:rPr>
          <w:rtl w:val="1"/>
        </w:rPr>
        <w:t xml:space="preserve">مقدمه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both"/>
        <w:rPr/>
      </w:pP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مهندسی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وظایفی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بکارگیری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پروسه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C">
      <w:pPr>
        <w:bidi w:val="1"/>
        <w:jc w:val="both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مهندسی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متدولوژی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متدولوژی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240" w:lineRule="auto"/>
        <w:jc w:val="both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­‌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المللی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مهندسی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مفروضات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مهندسی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EIA</w:t>
      </w:r>
      <w:r w:rsidDel="00000000" w:rsidR="00000000" w:rsidRPr="00000000">
        <w:rPr>
          <w:rtl w:val="1"/>
        </w:rPr>
        <w:t xml:space="preserve">12207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ISO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IEC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استانداردهای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مهندسی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آژانس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اروپا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TickIT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bidi w:val="1"/>
        <w:rPr/>
      </w:pPr>
      <w:bookmarkStart w:colFirst="0" w:colLast="0" w:name="_dka8s7k9bxz1" w:id="3"/>
      <w:bookmarkEnd w:id="3"/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</w:p>
    <w:p w:rsidR="00000000" w:rsidDel="00000000" w:rsidP="00000000" w:rsidRDefault="00000000" w:rsidRPr="00000000" w14:paraId="00000034">
      <w:pPr>
        <w:bidi w:val="1"/>
        <w:jc w:val="both"/>
        <w:rPr/>
      </w:pPr>
      <w:r w:rsidDel="00000000" w:rsidR="00000000" w:rsidRPr="00000000">
        <w:rPr>
          <w:rtl w:val="1"/>
        </w:rPr>
        <w:t xml:space="preserve">استانداردهای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المللی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المللی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پذیرش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المللی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المللی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تفاوت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تفاوت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ویرایشی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جایگزینی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اعشار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تفاوت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بنیادین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اقلیمی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جغرافیایی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زیرساخت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both"/>
        <w:rPr/>
      </w:pPr>
      <w:r w:rsidDel="00000000" w:rsidR="00000000" w:rsidRPr="00000000">
        <w:rPr>
          <w:b w:val="1"/>
          <w:rtl w:val="1"/>
        </w:rPr>
        <w:t xml:space="preserve">استانداردهای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بین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المللی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المللی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تفاوت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موانع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ناسازگار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المللی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کمیته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TBT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WTO</w:t>
      </w:r>
      <w:r w:rsidDel="00000000" w:rsidR="00000000" w:rsidRPr="00000000">
        <w:rPr>
          <w:rtl w:val="1"/>
        </w:rPr>
        <w:t xml:space="preserve">)، «</w:t>
      </w:r>
      <w:r w:rsidDel="00000000" w:rsidR="00000000" w:rsidRPr="00000000">
        <w:rPr>
          <w:rtl w:val="1"/>
        </w:rPr>
        <w:t xml:space="preserve">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راهنمایی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المللی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pStyle w:val="Heading2"/>
        <w:bidi w:val="1"/>
        <w:jc w:val="both"/>
        <w:rPr/>
      </w:pPr>
      <w:bookmarkStart w:colFirst="0" w:colLast="0" w:name="_4vtf8w9odce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bidi w:val="1"/>
        <w:jc w:val="both"/>
        <w:rPr/>
      </w:pPr>
      <w:bookmarkStart w:colFirst="0" w:colLast="0" w:name="_r2gm2j5iuwmn" w:id="5"/>
      <w:bookmarkEnd w:id="5"/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</w:t>
      </w:r>
    </w:p>
    <w:p w:rsidR="00000000" w:rsidDel="00000000" w:rsidP="00000000" w:rsidRDefault="00000000" w:rsidRPr="00000000" w14:paraId="00000039">
      <w:pPr>
        <w:bidi w:val="1"/>
        <w:jc w:val="both"/>
        <w:rPr/>
      </w:pP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المللی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دستورالعمل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انعطاف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رویکردهای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bidi w:val="1"/>
        <w:jc w:val="both"/>
        <w:rPr/>
      </w:pPr>
      <w:bookmarkStart w:colFirst="0" w:colLast="0" w:name="_wdf711r84v95" w:id="6"/>
      <w:bookmarkEnd w:id="6"/>
      <w:r w:rsidDel="00000000" w:rsidR="00000000" w:rsidRPr="00000000">
        <w:rPr>
          <w:rtl w:val="1"/>
        </w:rPr>
        <w:t xml:space="preserve">حوزه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</w:t>
      </w:r>
    </w:p>
    <w:p w:rsidR="00000000" w:rsidDel="00000000" w:rsidP="00000000" w:rsidRDefault="00000000" w:rsidRPr="00000000" w14:paraId="0000003B">
      <w:pPr>
        <w:bidi w:val="1"/>
        <w:jc w:val="both"/>
        <w:rPr/>
      </w:pP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پردازی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کاربرد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همزمان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تکرارشونده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بازگشتی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اجزای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both"/>
        <w:rPr/>
      </w:pP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پیچیدگی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تازگی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انطباق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کمیت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سفارشی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تطبیق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bidi w:val="1"/>
        <w:jc w:val="both"/>
        <w:rPr/>
      </w:pPr>
      <w:bookmarkStart w:colFirst="0" w:colLast="0" w:name="_6f41jq9lhs8r" w:id="7"/>
      <w:bookmarkEnd w:id="7"/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</w:t>
      </w:r>
    </w:p>
    <w:p w:rsidR="00000000" w:rsidDel="00000000" w:rsidP="00000000" w:rsidRDefault="00000000" w:rsidRPr="00000000" w14:paraId="00000040">
      <w:pPr>
        <w:bidi w:val="1"/>
        <w:jc w:val="both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حیات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حیات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حیات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bidi w:val="1"/>
        <w:rPr>
          <w:rFonts w:ascii="Vazirmatn Medium" w:cs="Vazirmatn Medium" w:eastAsia="Vazirmatn Medium" w:hAnsi="Vazirmatn Medium"/>
          <w:sz w:val="32"/>
          <w:szCs w:val="32"/>
        </w:rPr>
      </w:pPr>
      <w:bookmarkStart w:colFirst="0" w:colLast="0" w:name="_2qla967xl0eq" w:id="8"/>
      <w:bookmarkEnd w:id="8"/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وظیفه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داری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اگرچه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bidi w:val="1"/>
        <w:rPr/>
      </w:pPr>
      <w:bookmarkStart w:colFirst="0" w:colLast="0" w:name="_85sz3gvjtpzd" w:id="9"/>
      <w:bookmarkEnd w:id="9"/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حیات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مستندسازی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پیکربندی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وظیفه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۴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صحت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سنجی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اعتبارسنجی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رسی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سنجی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یافته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اعتبارسنجی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یافته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اعتبارسنجی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سنجی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یافته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محصولی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؟).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اعتبارسنجی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محصولی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؟).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مسئول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رسی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مسئول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انطباق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پلن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ایرادهایی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ایرادها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bidi w:val="1"/>
        <w:rPr/>
      </w:pPr>
      <w:bookmarkStart w:colFirst="0" w:colLast="0" w:name="_nq7l5j1wf37o" w:id="10"/>
      <w:bookmarkEnd w:id="10"/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حیات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زیرساخت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فرآیندهایی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مسئولیت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پرسنل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bidi w:val="1"/>
        <w:rPr/>
      </w:pPr>
      <w:bookmarkStart w:colFirst="0" w:colLast="0" w:name="_ppisn9tf10z2" w:id="11"/>
      <w:bookmarkEnd w:id="11"/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حیات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پاسخگویی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bidi w:val="1"/>
        <w:rPr/>
      </w:pPr>
      <w:bookmarkStart w:colFirst="0" w:colLast="0" w:name="_dz8ytxhk4i1r" w:id="12"/>
      <w:bookmarkEnd w:id="12"/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پیکربندی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بازبینی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bidi w:val="1"/>
        <w:rPr/>
      </w:pPr>
      <w:bookmarkStart w:colFirst="0" w:colLast="0" w:name="_b7rjn9j2d4ue" w:id="13"/>
      <w:bookmarkEnd w:id="13"/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ریزی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pStyle w:val="Heading2"/>
        <w:bidi w:val="1"/>
        <w:rPr/>
      </w:pPr>
      <w:bookmarkStart w:colFirst="0" w:colLast="0" w:name="_kdd5nza0e3yd" w:id="14"/>
      <w:bookmarkEnd w:id="14"/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تأکید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کارکنانشان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bidi w:val="1"/>
        <w:rPr/>
      </w:pPr>
      <w:bookmarkStart w:colFirst="0" w:colLast="0" w:name="_v6j3la6c0b9z" w:id="15"/>
      <w:bookmarkEnd w:id="15"/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برانگیز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bidi w:val="1"/>
        <w:rPr/>
      </w:pPr>
      <w:bookmarkStart w:colFirst="0" w:colLast="0" w:name="_tezimfp4xr4n" w:id="16"/>
      <w:bookmarkEnd w:id="16"/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نوآوری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پذیرش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کارگیری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امروزه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تهدیدات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تأکید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پیکربندی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انطباق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bidi w:val="1"/>
        <w:rPr/>
      </w:pPr>
      <w:bookmarkStart w:colFirst="0" w:colLast="0" w:name="_dy17i6iu6sn4" w:id="17"/>
      <w:bookmarkEnd w:id="17"/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مزایای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المللی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ISO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IEC</w:t>
      </w:r>
      <w:r w:rsidDel="00000000" w:rsidR="00000000" w:rsidRPr="00000000">
        <w:rPr>
          <w:rtl w:val="1"/>
        </w:rPr>
        <w:t xml:space="preserve"> 27001،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یکپارچه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bidi w:val="1"/>
        <w:rPr/>
      </w:pPr>
      <w:bookmarkStart w:colFirst="0" w:colLast="0" w:name="_183j1khfgayx" w:id="18"/>
      <w:bookmarkEnd w:id="18"/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دنیای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کارگیری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تکنولوژی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bidi w:val="1"/>
        <w:rPr/>
      </w:pPr>
      <w:bookmarkStart w:colFirst="0" w:colLast="0" w:name="_3idh11toiphz" w:id="19"/>
      <w:bookmarkEnd w:id="19"/>
      <w:r w:rsidDel="00000000" w:rsidR="00000000" w:rsidRPr="00000000">
        <w:rPr>
          <w:rtl w:val="1"/>
        </w:rPr>
        <w:t xml:space="preserve">آینده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مداوما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روزرسانی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پاسخگوی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تکنولوژی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رویکردهای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همگام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بازبینی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بازخوردهای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تجربیات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بتواند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بلاکچین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اینترنت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اشیا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IoT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توزیع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bidi w:val="1"/>
        <w:rPr/>
      </w:pPr>
      <w:bookmarkStart w:colFirst="0" w:colLast="0" w:name="_fvhxykk2fgdo" w:id="20"/>
      <w:bookmarkEnd w:id="20"/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نوآوری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روزرسانی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رویکردهای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خلاقانه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فرهنگی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استعدادهای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bidi w:val="1"/>
        <w:rPr/>
      </w:pPr>
      <w:bookmarkStart w:colFirst="0" w:colLast="0" w:name="_68p1fubm7vg8" w:id="21"/>
      <w:bookmarkEnd w:id="21"/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المللی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بتواند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پاسخگوی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المللی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دانشگاه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تحقیقاتی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کنفرانس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کارگاه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سمینارها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تجربیات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bidi w:val="1"/>
        <w:rPr/>
      </w:pPr>
      <w:bookmarkStart w:colFirst="0" w:colLast="0" w:name="_ttpnacnh6y7b" w:id="22"/>
      <w:bookmarkEnd w:id="22"/>
      <w:r w:rsidDel="00000000" w:rsidR="00000000" w:rsidRPr="00000000">
        <w:rPr>
          <w:rtl w:val="1"/>
        </w:rPr>
        <w:t xml:space="preserve">تأکید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انطباق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انطباق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صنایع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هوافضا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دفاع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برخوردار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bidi w:val="1"/>
        <w:rPr/>
      </w:pPr>
      <w:bookmarkStart w:colFirst="0" w:colLast="0" w:name="_8z2lcgngtf5y" w:id="23"/>
      <w:bookmarkEnd w:id="23"/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انعطاف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مقیاس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مؤثری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توانایی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بیفزایند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bidi w:val="1"/>
        <w:rPr/>
      </w:pPr>
      <w:bookmarkStart w:colFirst="0" w:colLast="0" w:name="_niyfllnn04m8" w:id="24"/>
      <w:bookmarkEnd w:id="24"/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کامپیوتینگ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تکنولوژی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اتوماسیون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جغرافیایی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آورند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یکپارچه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bidi w:val="1"/>
        <w:rPr/>
      </w:pPr>
      <w:bookmarkStart w:colFirst="0" w:colLast="0" w:name="_x6gyqgto9e1s" w:id="25"/>
      <w:bookmarkEnd w:id="25"/>
      <w:r w:rsidDel="00000000" w:rsidR="00000000" w:rsidRPr="00000000">
        <w:rPr>
          <w:rtl w:val="1"/>
        </w:rPr>
        <w:t xml:space="preserve">تعهد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تاکید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بازنگری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pStyle w:val="Heading2"/>
        <w:bidi w:val="1"/>
        <w:rPr/>
      </w:pPr>
      <w:bookmarkStart w:colFirst="0" w:colLast="0" w:name="_2u6io76l6srx" w:id="26"/>
      <w:bookmarkEnd w:id="26"/>
      <w:r w:rsidDel="00000000" w:rsidR="00000000" w:rsidRPr="00000000">
        <w:rPr>
          <w:rtl w:val="1"/>
        </w:rPr>
        <w:t xml:space="preserve">فرهنگ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فرهنگ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فرهنگی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ارتقا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bidi w:val="1"/>
        <w:rPr/>
      </w:pPr>
      <w:bookmarkStart w:colFirst="0" w:colLast="0" w:name="_6gt4f04ghqfg" w:id="27"/>
      <w:bookmarkEnd w:id="27"/>
      <w:r w:rsidDel="00000000" w:rsidR="00000000" w:rsidRPr="00000000">
        <w:rPr>
          <w:rtl w:val="1"/>
        </w:rPr>
        <w:t xml:space="preserve">آینده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انداز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آینده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رسد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انعطاف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پاسخگویی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سایبری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رهبری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مؤثری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bidi w:val="1"/>
        <w:rPr/>
      </w:pPr>
      <w:bookmarkStart w:colFirst="0" w:colLast="0" w:name="_wtw5uy3jsvgo" w:id="28"/>
      <w:bookmarkEnd w:id="28"/>
      <w:r w:rsidDel="00000000" w:rsidR="00000000" w:rsidRPr="00000000">
        <w:rPr>
          <w:rtl w:val="1"/>
        </w:rPr>
        <w:t xml:space="preserve">تقویت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المللی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المللی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جغرافیایی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تفاوت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فرهنگی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مؤثرتر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همکاری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5">
      <w:pPr>
        <w:pStyle w:val="Heading2"/>
        <w:bidi w:val="1"/>
        <w:rPr/>
      </w:pPr>
      <w:bookmarkStart w:colFirst="0" w:colLast="0" w:name="_i0mlja37p7ll" w:id="29"/>
      <w:bookmarkEnd w:id="29"/>
      <w:r w:rsidDel="00000000" w:rsidR="00000000" w:rsidRPr="00000000">
        <w:rPr>
          <w:rtl w:val="1"/>
        </w:rPr>
        <w:t xml:space="preserve">دورنمای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صنایع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انعطاف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صنایع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خودروسازی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دفاعی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تکنولوژی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ریسک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bidi w:val="1"/>
        <w:rPr/>
      </w:pPr>
      <w:bookmarkStart w:colFirst="0" w:colLast="0" w:name="_81pt54juwabw" w:id="30"/>
      <w:bookmarkEnd w:id="30"/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IEEE</w:t>
      </w:r>
      <w:r w:rsidDel="00000000" w:rsidR="00000000" w:rsidRPr="00000000">
        <w:rPr>
          <w:rtl w:val="1"/>
        </w:rPr>
        <w:t xml:space="preserve"> 12207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تاکید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انطباق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دنیای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bidi w:val="1"/>
        <w:jc w:val="both"/>
        <w:rPr>
          <w:rFonts w:ascii="Vazirmatn" w:cs="Vazirmatn" w:eastAsia="Vazirmatn" w:hAnsi="Vazirmatn"/>
        </w:rPr>
      </w:pPr>
      <w:bookmarkStart w:colFirst="0" w:colLast="0" w:name="_zay7qod427fr" w:id="31"/>
      <w:bookmarkEnd w:id="31"/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bidi w:val="1"/>
        <w:ind w:left="720" w:hanging="360"/>
        <w:jc w:val="both"/>
        <w:rPr>
          <w:rFonts w:ascii="Vazirmatn" w:cs="Vazirmatn" w:eastAsia="Vazirmatn" w:hAnsi="Vazirmatn"/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1"/>
          </w:rPr>
          <w:t xml:space="preserve">استانداردهای</w:t>
        </w:r>
      </w:hyperlink>
      <w:hyperlink r:id="rId8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1"/>
          </w:rPr>
          <w:t xml:space="preserve">مهندسی</w:t>
        </w:r>
      </w:hyperlink>
      <w:hyperlink r:id="rId10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1"/>
          </w:rPr>
          <w:t xml:space="preserve">نرم</w:t>
        </w:r>
      </w:hyperlink>
      <w:hyperlink r:id="rId12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1"/>
          </w:rPr>
          <w:t xml:space="preserve">افزار</w:t>
        </w:r>
      </w:hyperlink>
      <w:hyperlink r:id="rId14">
        <w:r w:rsidDel="00000000" w:rsidR="00000000" w:rsidRPr="00000000">
          <w:rPr>
            <w:color w:val="1155cc"/>
            <w:u w:val="single"/>
            <w:rtl w:val="1"/>
          </w:rPr>
          <w:t xml:space="preserve"> (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blogfa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.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com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bidi w:val="1"/>
        <w:ind w:left="720" w:hanging="360"/>
        <w:jc w:val="both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ISO/IEC 12207 -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bidi w:val="1"/>
        <w:ind w:left="720" w:hanging="360"/>
        <w:jc w:val="both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IEEE SA - IEEE 12207-2-2020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bidi w:val="1"/>
        <w:ind w:left="720" w:hanging="360"/>
        <w:jc w:val="both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info_isoiecieee12207</w:t>
        </w:r>
      </w:hyperlink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azirmatn SemiBold">
    <w:embedRegular w:fontKey="{00000000-0000-0000-0000-000000000000}" r:id="rId1" w:subsetted="0"/>
    <w:embedBold w:fontKey="{00000000-0000-0000-0000-000000000000}" r:id="rId2" w:subsetted="0"/>
  </w:font>
  <w:font w:name="Vazirmatn">
    <w:embedRegular w:fontKey="{00000000-0000-0000-0000-000000000000}" r:id="rId3" w:subsetted="0"/>
    <w:embedBold w:fontKey="{00000000-0000-0000-0000-000000000000}" r:id="rId4" w:subsetted="0"/>
  </w:font>
  <w:font w:name="Vazirmatn ExtraBold">
    <w:embedBold w:fontKey="{00000000-0000-0000-0000-000000000000}" r:id="rId5" w:subsetted="0"/>
  </w:font>
  <w:font w:name="Vazirmatn Medium">
    <w:embedRegular w:fontKey="{00000000-0000-0000-0000-000000000000}" r:id="rId6" w:subsetted="0"/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Style w:val="Title"/>
      <w:bidi w:val="1"/>
      <w:jc w:val="center"/>
      <w:rPr/>
    </w:pPr>
    <w:bookmarkStart w:colFirst="0" w:colLast="0" w:name="_7j0ul8sdp3yn" w:id="32"/>
    <w:bookmarkEnd w:id="32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azirmatn" w:cs="Vazirmatn" w:eastAsia="Vazirmatn" w:hAnsi="Vazirmatn"/>
        <w:sz w:val="26"/>
        <w:szCs w:val="26"/>
        <w:lang w:val="en"/>
      </w:rPr>
    </w:rPrDefault>
    <w:pPrDefault>
      <w:pPr>
        <w:bidi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Vazirmatn" w:cs="Vazirmatn" w:eastAsia="Vazirmatn" w:hAnsi="Vazirmat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80" w:before="320" w:lineRule="auto"/>
    </w:pPr>
    <w:rPr>
      <w:rFonts w:ascii="Vazirmatn Medium" w:cs="Vazirmatn Medium" w:eastAsia="Vazirmatn Medium" w:hAnsi="Vazirmatn Medium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bidi w:val="1"/>
      <w:spacing w:after="80" w:before="320" w:lineRule="auto"/>
    </w:pPr>
    <w:rPr>
      <w:rFonts w:ascii="Vazirmatn Medium" w:cs="Vazirmatn Medium" w:eastAsia="Vazirmatn Medium" w:hAnsi="Vazirmatn Medium"/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bidi w:val="1"/>
      <w:spacing w:after="80" w:before="280" w:lineRule="auto"/>
      <w:jc w:val="both"/>
    </w:pPr>
    <w:rPr>
      <w:rFonts w:ascii="Vazirmatn" w:cs="Vazirmatn" w:eastAsia="Vazirmatn" w:hAnsi="Vazirmat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bidi w:val="1"/>
      <w:spacing w:after="320" w:lineRule="auto"/>
    </w:pPr>
    <w:rPr>
      <w:rFonts w:ascii="Vazirmatn" w:cs="Vazirmatn" w:eastAsia="Vazirmatn" w:hAnsi="Vazirmatn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ndards.ieee.org/ieee/12207-2/10353/" TargetMode="External"/><Relationship Id="rId11" Type="http://schemas.openxmlformats.org/officeDocument/2006/relationships/hyperlink" Target="http://www.behsoroosh.blogfa.com/post/42" TargetMode="External"/><Relationship Id="rId22" Type="http://schemas.openxmlformats.org/officeDocument/2006/relationships/header" Target="header1.xml"/><Relationship Id="rId10" Type="http://schemas.openxmlformats.org/officeDocument/2006/relationships/hyperlink" Target="http://www.behsoroosh.blogfa.com/post/42" TargetMode="External"/><Relationship Id="rId21" Type="http://schemas.openxmlformats.org/officeDocument/2006/relationships/hyperlink" Target="https://webstore.iec.ch/preview/info_isoiecieee12207%7Bed1.0%7Den.pdf" TargetMode="External"/><Relationship Id="rId13" Type="http://schemas.openxmlformats.org/officeDocument/2006/relationships/hyperlink" Target="http://www.behsoroosh.blogfa.com/post/42" TargetMode="External"/><Relationship Id="rId12" Type="http://schemas.openxmlformats.org/officeDocument/2006/relationships/hyperlink" Target="http://www.behsoroosh.blogfa.com/post/42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ehsoroosh.blogfa.com/post/42" TargetMode="External"/><Relationship Id="rId15" Type="http://schemas.openxmlformats.org/officeDocument/2006/relationships/hyperlink" Target="http://www.behsoroosh.blogfa.com/post/42" TargetMode="External"/><Relationship Id="rId14" Type="http://schemas.openxmlformats.org/officeDocument/2006/relationships/hyperlink" Target="http://www.behsoroosh.blogfa.com/post/42" TargetMode="External"/><Relationship Id="rId17" Type="http://schemas.openxmlformats.org/officeDocument/2006/relationships/hyperlink" Target="http://www.behsoroosh.blogfa.com/post/42" TargetMode="External"/><Relationship Id="rId16" Type="http://schemas.openxmlformats.org/officeDocument/2006/relationships/hyperlink" Target="http://www.behsoroosh.blogfa.com/post/42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wikipedia.org/wiki/ISO/IEC_12207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www.behsoroosh.blogfa.com/post/42" TargetMode="External"/><Relationship Id="rId7" Type="http://schemas.openxmlformats.org/officeDocument/2006/relationships/hyperlink" Target="http://www.behsoroosh.blogfa.com/post/42" TargetMode="External"/><Relationship Id="rId8" Type="http://schemas.openxmlformats.org/officeDocument/2006/relationships/hyperlink" Target="http://www.behsoroosh.blogfa.com/post/4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SemiBold-regular.ttf"/><Relationship Id="rId2" Type="http://schemas.openxmlformats.org/officeDocument/2006/relationships/font" Target="fonts/VazirmatnSemiBold-bold.ttf"/><Relationship Id="rId3" Type="http://schemas.openxmlformats.org/officeDocument/2006/relationships/font" Target="fonts/Vazirmatn-regular.ttf"/><Relationship Id="rId4" Type="http://schemas.openxmlformats.org/officeDocument/2006/relationships/font" Target="fonts/Vazirmatn-bold.ttf"/><Relationship Id="rId5" Type="http://schemas.openxmlformats.org/officeDocument/2006/relationships/font" Target="fonts/VazirmatnExtraBold-bold.ttf"/><Relationship Id="rId6" Type="http://schemas.openxmlformats.org/officeDocument/2006/relationships/font" Target="fonts/VazirmatnMedium-regular.ttf"/><Relationship Id="rId7" Type="http://schemas.openxmlformats.org/officeDocument/2006/relationships/font" Target="fonts/Vazirmatn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