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1. Context &amp; Problem Statement</w:t>
      </w:r>
    </w:p>
    <w:p>
      <w:r>
        <w:t>QuickCart LK operates in Colombo (districts 1–15), Gampaha, and Kandy. In Sri Lanka's competitive delivery market, delays from Colombo traffic, monsoon weather, and operational bottlenecks are driving severe customer churn. The business must identify the root causes of these delays and implement an AI-driven predictive system to manage them.</w:t>
      </w:r>
    </w:p>
    <w:p>
      <w:pPr>
        <w:pStyle w:val="Heading1"/>
      </w:pPr>
      <w:r>
        <w:t>2. Objectives &amp; Success Metrics</w:t>
      </w:r>
    </w:p>
    <w:p>
      <w:r>
        <w:t>• Reduce overall delivery delay rate from 15% to &lt;8%.</w:t>
        <w:br/>
        <w:t>• Cut churn among customers experiencing delayed orders by 30%.</w:t>
        <w:br/>
        <w:t>• Implement proactive routing and retention alerts based on real-time AI predictions.</w:t>
      </w:r>
    </w:p>
    <w:p>
      <w:pPr>
        <w:pStyle w:val="Heading1"/>
      </w:pPr>
      <w:r>
        <w:t>3. Scope &amp; Requirements</w:t>
      </w:r>
    </w:p>
    <w:p>
      <w:pPr>
        <w:pStyle w:val="Heading2"/>
      </w:pPr>
      <w:r>
        <w:t>Functional Requirements</w:t>
      </w:r>
    </w:p>
    <w:p>
      <w:r>
        <w:t>• Real-time rider tracking and dynamic allocation algorithms.</w:t>
        <w:br/>
        <w:t>• Automated delay alerts to customers based on distance, traffic, and weather.</w:t>
        <w:br/>
        <w:t>• Weather-based surcharge triggering during heavy monsoons.</w:t>
      </w:r>
    </w:p>
    <w:p>
      <w:pPr>
        <w:pStyle w:val="Heading2"/>
      </w:pPr>
      <w:r>
        <w:t>Non-Functional Requirements</w:t>
      </w:r>
    </w:p>
    <w:p>
      <w:r>
        <w:t>• API latency for delay prediction must be under 200ms.</w:t>
        <w:br/>
        <w:t>• System must scale to handle 500+ concurrent orders during rush hour peaks.</w:t>
      </w:r>
    </w:p>
    <w:p>
      <w:pPr>
        <w:pStyle w:val="Heading1"/>
      </w:pPr>
      <w:r>
        <w:t>4. Assumptions &amp; Constraints</w:t>
      </w:r>
    </w:p>
    <w:p>
      <w:r>
        <w:t>• Weather data is sourced reliably from local meteorological APIs.</w:t>
        <w:br/>
        <w:t>• Rider availability remains relatively constant across operational 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