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特朗普2.0时期美国新生代议员涉华行为分析</w:t>
      </w:r>
    </w:p>
    <w:p>
      <w:pPr>
        <w:pStyle w:val="Subtitle"/>
        <w:jc w:val="center"/>
      </w:pPr>
      <w:r>
        <w:t>——基于第119届国会的考察</w:t>
      </w:r>
    </w:p>
    <w:p>
      <w:pPr>
        <w:pStyle w:val="FirstParagraph"/>
      </w:pPr>
      <w:r>
        <w:rPr>
          <w:rFonts w:hint="eastAsia"/>
          <w:b/>
          <w:bCs/>
        </w:rPr>
        <w:t xml:space="preserve">【内容提要】</w:t>
      </w:r>
      <w:r>
        <w:t xml:space="preserve"> </w:t>
      </w:r>
      <w:r>
        <w:rPr>
          <w:rFonts w:hint="eastAsia"/>
        </w:rPr>
        <w:t xml:space="preserve">特朗普第二任期以来，美国对华政策呈现出“府会双轨”并行的格局：白宫以关税、峰会与交易式外交主导中美关系的节奏，国会则延续并强化了以战略竞争为底色的涉华立法惯性。在这一格局中，一批年龄在45岁及以下、国会资历不足6年的新生代议员以主提案、联署、修正案和委员会审议等方式持续介入涉华议程。本文以第119届国会（2025年1月3日至2026年10月29日）为观察期，依据固定的年龄与资历标准构建97人的基础样本，并从中识别出20名持续、主动推动涉华议程的核心议员。研究发现：新生代议员在涉华立法总量中并不占据超出其人数比例的份额，但其行为高度集中于少数核心成员；该群体以军人、律师和州级立法者为主要职业来源，倚重委员会席位而非领导职务开展行动；议题上偏重出口管制、供应链、科技竞争与影响力渗透，工具上以“审查型”与“限制型”为主，制裁和管制等高强制工具使用频率有限；行动策略呈现出小切口立法、搭车国防授权法和跨党派联署三位一体的特点。该群体对行政部门对华决策的影响主要通过搭车立法与议题输入实现，受到国会议程容量、特朗普政府交易式外交以及中期选举等因素的明显制约。对这一群体应采取分层分类、聚焦关键立法节点和合作网络的研判方式，避免以个别高曝光议员的言行推断整体趋势。</w:t>
      </w:r>
    </w:p>
    <w:bookmarkStart w:id="15" w:name="引言"/>
    <w:p>
      <w:pPr>
        <w:pStyle w:val="Heading1"/>
      </w:pPr>
      <w:r>
        <w:rPr>
          <w:rFonts w:hint="eastAsia"/>
        </w:rPr>
        <w:t xml:space="preserve">引言</w:t>
      </w:r>
    </w:p>
    <w:p>
      <w:pPr>
        <w:pStyle w:val="FirstParagraph"/>
      </w:pPr>
      <w:r>
        <w:rPr>
          <w:rFonts w:hint="eastAsia"/>
        </w:rPr>
        <w:t xml:space="preserve">2025年1月20日，特朗普再度就任美国总统。与第一任期相比，特朗普2.0时期的对华政策在结构上出现了两个值得关注的变化。一是总统主导权显著增强。自2025年2月起，特朗普以芬太尼问题为由援引《国际紧急经济权力法》对华加征关税，继而于4月推出“对等关税”，中美经贸摩擦在数周内升级至关税税率超过100%的程度；此后双方经日内瓦、伦敦、斯德哥尔摩等多轮磋商，于2025年10月30日在釜山举行元首会晤，达成下调芬太尼关税、暂停部分对等关税、暂停商务部“关联企业规则”和中方暂停稀土出口管制等安排。</w:t>
      </w:r>
      <w:r>
        <w:rPr>
          <w:rStyle w:val="FootnoteReference"/>
        </w:rPr>
        <w:footnoteReference w:id="9"/>
      </w:r>
      <w:r>
        <w:rPr>
          <w:rFonts w:hint="eastAsia"/>
        </w:rPr>
        <w:t xml:space="preserve">2026年2月20日，美国最高法院在“学习资源公司诉特朗普案”中以6比3裁定《国际紧急经济权力法》并未授权总统加征关税，特朗普政府此后转而依托其他贸易法律授权维持关税安排。</w:t>
      </w:r>
      <w:r>
        <w:rPr>
          <w:rStyle w:val="FootnoteReference"/>
        </w:rPr>
        <w:footnoteReference w:id="10"/>
      </w:r>
      <w:r>
        <w:rPr>
          <w:rFonts w:hint="eastAsia"/>
        </w:rPr>
        <w:t xml:space="preserve">2026年5月特朗普访华、9月习近平主席访美，中美就经贸安排、人工智能对话等达成一系列共识，特朗普在访华期间公开将对台军售称为“谈判筹码”，引发国会强烈反弹。</w:t>
      </w:r>
      <w:r>
        <w:rPr>
          <w:rStyle w:val="FootnoteReference"/>
        </w:rPr>
        <w:footnoteReference w:id="11"/>
      </w:r>
      <w:r>
        <w:rPr>
          <w:rFonts w:hint="eastAsia"/>
        </w:rPr>
        <w:t xml:space="preserve">二是国会的制度性角色并未因总统主导权增强而弱化。第119届国会由共和党同时控制参众两院，但在涉华议题上，国会既为总统提供立法授权与资源配合，也在台湾、出口管制和芯片出口等问题上表现出不同于白宫的政策偏好。2025年12月18日签署成为法律的《2026财年国防授权法》（第119-60号公法）纳入了对外投资审查（《COINS法》）、生物技术安全（《生物安全法》条款）、《台湾非歧视法》、打击芬太尼等多项原本独立提出的涉华法案，是观察国会涉华立法惯性的集中样本。</w:t>
      </w:r>
      <w:r>
        <w:rPr>
          <w:rStyle w:val="FootnoteReference"/>
        </w:rPr>
        <w:footnoteReference w:id="12"/>
      </w:r>
    </w:p>
    <w:p>
      <w:pPr>
        <w:pStyle w:val="BodyText"/>
      </w:pPr>
      <w:r>
        <w:rPr>
          <w:rFonts w:hint="eastAsia"/>
        </w:rPr>
        <w:t xml:space="preserve">与此同时，美国国会的代际结构持续更替。皮尤研究中心的数据表明，X世代与千禧世代议员在第119届国会众议院中的合计占比已经过半，X世代首次取代婴儿潮世代成为众议院最大代际群体。</w:t>
      </w:r>
      <w:r>
        <w:rPr>
          <w:rStyle w:val="FootnoteReference"/>
        </w:rPr>
        <w:footnoteReference w:id="13"/>
      </w:r>
      <w:r>
        <w:rPr>
          <w:rFonts w:hint="eastAsia"/>
        </w:rPr>
        <w:t xml:space="preserve">既有研究已经揭示，第115届至第118届国会期间成长起来的新生代涉华议员形成了将中国视为“系统性对手”的代际认知，呈现出硬实力对抗导向、涉华议题内政化、政策机制创新和立法精准务实等特征。</w:t>
      </w:r>
      <w:r>
        <w:rPr>
          <w:rStyle w:val="FootnoteReference"/>
        </w:rPr>
        <w:footnoteReference w:id="14"/>
      </w:r>
      <w:r>
        <w:rPr>
          <w:rFonts w:hint="eastAsia"/>
        </w:rPr>
        <w:t xml:space="preserve">进入特朗普2.0时期，这一群体面临的制度环境发生了变化：一方面，共和党“统一政府”使得共和党新生代议员获得了更多进入关键委员会、担任小组委员会主席的机会；另一方面，总统对中美关系节奏的强势主导压缩了国会单独设置议程的空间，新生代议员需要在配合白宫、牵制白宫与自主设置议题之间作出选择。</w:t>
      </w:r>
    </w:p>
    <w:p>
      <w:pPr>
        <w:pStyle w:val="BodyText"/>
      </w:pPr>
      <w:r>
        <w:rPr>
          <w:rFonts w:hint="eastAsia"/>
        </w:rPr>
        <w:t xml:space="preserve">基于上述背景，本文以第119届国会为制度场域，围绕以下五个问题展开考察：第一，哪些新生代议员在观察期内持续、主动地推动涉华议程？第二，这一群体具有怎样的身份背景、政治资源和行为特征？第三，其主要关注哪些涉华议题，采用何种政策工具与行动策略？第四，其行动通过何种机制影响国会立法和行政部门的对华决策，这种影响受到哪些因素的制约？第五，对这一群体应当如何进行分层分类的研判与应对？与以完整会期为对象的既有研究不同，本文的观察对象是一个尚未结束的会期，相关结论反映的是截至资料检索日的阶段性图景。</w:t>
      </w:r>
    </w:p>
    <w:bookmarkEnd w:id="15"/>
    <w:bookmarkStart w:id="74" w:name="一研究设计概念界定样本构建与数据方法"/>
    <w:p>
      <w:pPr>
        <w:pStyle w:val="Heading1"/>
      </w:pPr>
      <w:r>
        <w:rPr>
          <w:rFonts w:hint="eastAsia"/>
        </w:rPr>
        <w:t xml:space="preserve">一、研究设计：概念界定、样本构建与数据方法</w:t>
      </w:r>
    </w:p>
    <w:bookmarkStart w:id="16" w:name="一考察时间与制度背景"/>
    <w:p>
      <w:pPr>
        <w:pStyle w:val="Heading2"/>
      </w:pPr>
      <w:r>
        <w:rPr>
          <w:rFonts w:hint="eastAsia"/>
        </w:rPr>
        <w:t xml:space="preserve">（一）考察时间与制度背景</w:t>
      </w:r>
    </w:p>
    <w:p>
      <w:pPr>
        <w:pStyle w:val="FirstParagraph"/>
      </w:pPr>
      <w:r>
        <w:rPr>
          <w:rFonts w:hint="eastAsia"/>
        </w:rPr>
        <w:t xml:space="preserve">本文以特朗普第二任期为政治背景，以第119届国会为主要制度场域。第119届国会于2025年1月3日开幕，依法将于2027年1月3日结束。本文的实际观察期为2025年1月3日至2026年10月29日（资料检索截止日），覆盖该届国会第一会期全部和第二会期的大部分，不将这一未完成的会期表述为完整会期；文中涉及“本届国会”的各项统计，均指观察期内的记录。</w:t>
      </w:r>
    </w:p>
    <w:p>
      <w:pPr>
        <w:pStyle w:val="BodyText"/>
      </w:pPr>
      <w:r>
        <w:rPr>
          <w:rFonts w:hint="eastAsia"/>
        </w:rPr>
        <w:t xml:space="preserve">观察期内的涉华行动来自三类不同主体，本文对其加以区分。一是国会行动，指以两院、委员会或国会整体名义作出的立法、决议、听证和报告，例如国防授权法的制定和通过。二是议员个人行动，指议员以个人名义提出法案、决议和修正案，参与联署，以及在委员会和院会中的发言与提问。三是特朗普政府行动，指总统、白宫和行政部门通过行政令、规章、谈判和执法作出的决策。三者之间存在互动，但不能相互等同：一项由新生代议员提出的法案最终成为法律，既取决于其个人推动，也取决于委员会主席、两党领导层和白宫的态度；反之，行政部门采取与某议员主张一致的行动，也不能径直归因于该议员。本文将议员个人行动作为分析的基本单位，并在考察影响时逐一核对国会和行政部门回应的记录。</w:t>
      </w:r>
    </w:p>
    <w:p>
      <w:pPr>
        <w:pStyle w:val="BodyText"/>
      </w:pPr>
      <w:r>
        <w:rPr>
          <w:rFonts w:hint="eastAsia"/>
        </w:rPr>
        <w:t xml:space="preserve">对于观察期之前的履历和涉华行为，本文仅作为背景资料用于刻画议员的身份背景与政治进路，不计入行为统计。核心行为统计均以观察期内的国会记录为准。</w:t>
      </w:r>
    </w:p>
    <w:bookmarkEnd w:id="16"/>
    <w:bookmarkStart w:id="18" w:name="二新生代议员的界定"/>
    <w:p>
      <w:pPr>
        <w:pStyle w:val="Heading2"/>
      </w:pPr>
      <w:r>
        <w:rPr>
          <w:rFonts w:hint="eastAsia"/>
        </w:rPr>
        <w:t xml:space="preserve">（二）“新生代议员”的界定</w:t>
      </w:r>
    </w:p>
    <w:p>
      <w:pPr>
        <w:pStyle w:val="FirstParagraph"/>
      </w:pPr>
      <w:r>
        <w:rPr>
          <w:rFonts w:hint="eastAsia"/>
        </w:rPr>
        <w:t xml:space="preserve">本文从年龄和资历两个维度界定“新生代议员”。</w:t>
      </w:r>
    </w:p>
    <w:p>
      <w:pPr>
        <w:pStyle w:val="BodyText"/>
      </w:pPr>
      <w:r>
        <w:rPr>
          <w:rFonts w:hint="eastAsia"/>
        </w:rPr>
        <w:t xml:space="preserve">第一，年龄标准。以第119届国会开幕日（2025年1月3日）为年龄计算基准日，将该日年满45周岁及以下的议员纳入考察范围，即1979年1月3日及以后出生者。这一标准与既有研究中“1972年及以后出生”的界线相比有所前移，原因在于观察基准日后移了八年，而“新生代”应当是一个相对于国会整体年龄结构的概念，而非固定的出生年份区间。第119届国会全部555名议员（含在观察期内离任和补选上任者）在基准日的平均年龄为58.0岁，45岁及以下者约占18.9%。</w:t>
      </w:r>
      <w:r>
        <w:rPr>
          <w:rStyle w:val="FootnoteReference"/>
        </w:rPr>
        <w:footnoteReference w:id="17"/>
      </w:r>
    </w:p>
    <w:p>
      <w:pPr>
        <w:pStyle w:val="BodyText"/>
      </w:pPr>
      <w:r>
        <w:rPr>
          <w:rFonts w:hint="eastAsia"/>
        </w:rPr>
        <w:t xml:space="preserve">第二，资历标准。截至2025年1月3日，在国会累计任职时间原则上不超过6年，即参议员不超过1届、众议员不超过3届。设置这一标准的目的在于排除年龄虽轻但已在国会积累较深资历、掌握重要制度资源的议员，使“新生代”同时具备年龄和资历两方面的含义。</w:t>
      </w:r>
    </w:p>
    <w:p>
      <w:pPr>
        <w:pStyle w:val="BodyText"/>
      </w:pPr>
      <w:r>
        <w:rPr>
          <w:rFonts w:hint="eastAsia"/>
        </w:rPr>
        <w:t xml:space="preserve">第三，特殊情形处理。对于跨院任职者（如先任众议员后任参议员）、非连续任职者、通过特别选举中途上任者以及任期中断者，一律按累计实际任职时间计算，不以“届”为单位简单折算。例如，参议员安迪·金（Andy</w:t>
      </w:r>
      <w:r>
        <w:t xml:space="preserve"> </w:t>
      </w:r>
      <w:r>
        <w:rPr>
          <w:rFonts w:hint="eastAsia"/>
        </w:rPr>
        <w:t xml:space="preserve">Kim）于2019年1月至2024年12月任众议员，2024年12月9日提前就任参议员，累计任职约6年，符合资历标准。观察期内通过特别选举进入众议院的詹姆斯·沃金肖（James</w:t>
      </w:r>
      <w:r>
        <w:t xml:space="preserve"> </w:t>
      </w:r>
      <w:r>
        <w:rPr>
          <w:rFonts w:hint="eastAsia"/>
        </w:rPr>
        <w:t xml:space="preserve">Walkinshaw，2025年9月）、马特·范埃普斯（Matt</w:t>
      </w:r>
      <w:r>
        <w:t xml:space="preserve"> Van </w:t>
      </w:r>
      <w:r>
        <w:rPr>
          <w:rFonts w:hint="eastAsia"/>
        </w:rPr>
        <w:t xml:space="preserve">Epps，2025年12月）、克里斯蒂安·梅尼菲（Christian</w:t>
      </w:r>
      <w:r>
        <w:t xml:space="preserve"> </w:t>
      </w:r>
      <w:r>
        <w:rPr>
          <w:rFonts w:hint="eastAsia"/>
        </w:rPr>
        <w:t xml:space="preserve">Menefee，2026年2月）等人，只要年龄符合标准，均纳入样本，其行为统计从就任日起算。</w:t>
      </w:r>
    </w:p>
    <w:p>
      <w:pPr>
        <w:pStyle w:val="BodyText"/>
      </w:pPr>
      <w:r>
        <w:rPr>
          <w:rFonts w:hint="eastAsia"/>
        </w:rPr>
        <w:t xml:space="preserve">第四，内部分类。满足年龄标准但累计任职超过6年的议员，本文称为“年轻资深型”，第119届国会中有7人，包括众议院筹款委员会主席贾森·史密斯（Jason</w:t>
      </w:r>
      <w:r>
        <w:t xml:space="preserve"> </w:t>
      </w:r>
      <w:r>
        <w:rPr>
          <w:rFonts w:hint="eastAsia"/>
        </w:rPr>
        <w:t xml:space="preserve">Smith）、众议院共和党前会议主席伊莉斯·斯特凡尼克（Elise</w:t>
      </w:r>
      <w:r>
        <w:t xml:space="preserve"> </w:t>
      </w:r>
      <w:r>
        <w:rPr>
          <w:rFonts w:hint="eastAsia"/>
        </w:rPr>
        <w:t xml:space="preserve">Stefanik）、众议院外交委员会主席布赖恩·马斯特（Brian</w:t>
      </w:r>
      <w:r>
        <w:t xml:space="preserve"> </w:t>
      </w:r>
      <w:r>
        <w:rPr>
          <w:rFonts w:hint="eastAsia"/>
        </w:rPr>
        <w:t xml:space="preserve">Mast）、参议员吉姆·班克斯（Jim</w:t>
      </w:r>
      <w:r>
        <w:t xml:space="preserve"> </w:t>
      </w:r>
      <w:r>
        <w:rPr>
          <w:rFonts w:hint="eastAsia"/>
        </w:rPr>
        <w:t xml:space="preserve">Banks）、鲁本·加列戈（Ruben</w:t>
      </w:r>
      <w:r>
        <w:t xml:space="preserve"> </w:t>
      </w:r>
      <w:r>
        <w:rPr>
          <w:rFonts w:hint="eastAsia"/>
        </w:rPr>
        <w:t xml:space="preserve">Gallego）、众议院民主党党团主席皮特·阿吉拉尔（Pete</w:t>
      </w:r>
      <w:r>
        <w:t xml:space="preserve"> </w:t>
      </w:r>
      <w:r>
        <w:rPr>
          <w:rFonts w:hint="eastAsia"/>
        </w:rPr>
        <w:t xml:space="preserve">Aguilar）和埃里克·斯沃韦尔（Eric</w:t>
      </w:r>
      <w:r>
        <w:t xml:space="preserve"> </w:t>
      </w:r>
      <w:r>
        <w:rPr>
          <w:rFonts w:hint="eastAsia"/>
        </w:rPr>
        <w:t xml:space="preserve">Swalwell）。这7人掌握的制度资源与同龄新晋议员差异明显，本文不将其纳入基础样本，而作为对照组在相关部分予以说明。同时满足年龄与资历标准者，本文称为“年轻新晋型”，构成本文的基础样本。</w:t>
      </w:r>
    </w:p>
    <w:bookmarkEnd w:id="18"/>
    <w:bookmarkStart w:id="20" w:name="三涉华议员的界定"/>
    <w:p>
      <w:pPr>
        <w:pStyle w:val="Heading2"/>
      </w:pPr>
      <w:r>
        <w:rPr>
          <w:rFonts w:hint="eastAsia"/>
        </w:rPr>
        <w:t xml:space="preserve">（三）“涉华议员”的界定</w:t>
      </w:r>
    </w:p>
    <w:p>
      <w:pPr>
        <w:pStyle w:val="FirstParagraph"/>
      </w:pPr>
      <w:r>
        <w:rPr>
          <w:rFonts w:hint="eastAsia"/>
        </w:rPr>
        <w:t xml:space="preserve">并非所有在国会记录中提及中国的议员都可以被视为涉华议员。本文沿用狭义的界定方式，即将涉华事务作为其国会活动中重要政治议程、具有相对稳定且可辨识的对华政策立场、持续主动发起或推动涉华议程、并试图对国会立法、国会监督、行政部门政策或公共舆论产生实质影响的议员。其核心判断依据是“涉华事务权重”，具体通过四个方面综合考察：一是持续性，即涉华行动是否跨越多个时间段而非集中于单一事件；二是主动性，即是否以主提案人身份提出涉华法案或决议，而不仅仅是参与联署或投票；三是专注度，即涉华行动在其全部立法活动中所占比重以及是否与其委员会职责形成呼应；四是政策目标，即其行动是否指向具体的政策变化，而非仅为象征性表态。</w:t>
      </w:r>
    </w:p>
    <w:p>
      <w:pPr>
        <w:pStyle w:val="BodyText"/>
      </w:pPr>
      <w:r>
        <w:rPr>
          <w:rFonts w:hint="eastAsia"/>
        </w:rPr>
        <w:t xml:space="preserve">在操作层面，本文以观察期内的立法记录为主要衡量依据，将符合以下任一条件者认定为核心涉华议员：（1）以主提案人身份提出2项及以上涉华法案或决议；（2）以主提案人身份提出至少1项以中国为主要规制对象的法案或决议，且联署涉华法案5项及以上。设置第二项条件是为了避免将仅有单一提案、但通过持续联署参与涉华议题网络的议员排除在外，同时将偶然提出一项涉华法案后再无后续行动者排除。</w:t>
      </w:r>
      <w:r>
        <w:rPr>
          <w:rStyle w:val="FootnoteReference"/>
        </w:rPr>
        <w:footnoteReference w:id="19"/>
      </w:r>
    </w:p>
    <w:bookmarkEnd w:id="20"/>
    <w:bookmarkStart w:id="21" w:name="四样本层次"/>
    <w:p>
      <w:pPr>
        <w:pStyle w:val="Heading2"/>
      </w:pPr>
      <w:r>
        <w:rPr>
          <w:rFonts w:hint="eastAsia"/>
        </w:rPr>
        <w:t xml:space="preserve">（四）样本层次</w:t>
      </w:r>
    </w:p>
    <w:p>
      <w:pPr>
        <w:pStyle w:val="FirstParagraph"/>
      </w:pPr>
      <w:r>
        <w:rPr>
          <w:rFonts w:hint="eastAsia"/>
        </w:rPr>
        <w:t xml:space="preserve">本文的样本分为两个层次。基础样本为第119届国会中同时符合年龄与资历标准的全部议员，共97人，用于刻画新生代议员的整体分布和涉华参与的广度。核心样本为基础样本中符合涉华议员界定的成员，共20人，是本文群体画像、行为图谱和个案分析的主要对象。下文在不引起歧义的情况下，以“新生代议员”指代基础样本，以“新生代涉华议员”或“核心议员”指代核心样本。</w:t>
      </w:r>
    </w:p>
    <w:bookmarkEnd w:id="21"/>
    <w:bookmarkStart w:id="23" w:name="五资料来源与检索方法"/>
    <w:p>
      <w:pPr>
        <w:pStyle w:val="Heading2"/>
      </w:pPr>
      <w:r>
        <w:rPr>
          <w:rFonts w:hint="eastAsia"/>
        </w:rPr>
        <w:t xml:space="preserve">（五）资料来源与检索方法</w:t>
      </w:r>
    </w:p>
    <w:p>
      <w:pPr>
        <w:pStyle w:val="FirstParagraph"/>
      </w:pPr>
      <w:r>
        <w:rPr>
          <w:rFonts w:hint="eastAsia"/>
        </w:rPr>
        <w:t xml:space="preserve">本文的立法资料来自国会官方网站（Congress.gov）和美国政府出版局（GovInfo）发布的第119届国会法案状态数据与法案全文，检索截止日为2026年10月29日，涵盖该届国会提出的全部19782项法案和决议。国会活动资料来自众议院军事委员会修正案追踪系统、各委员会审议记录、国会记录及议员官网新闻稿。背景资料来自国会官方传记目录、众议院书记官办公室委员会名单、各州选举机构公布的选举结果，以及经核对的公开传记资料。</w:t>
      </w:r>
    </w:p>
    <w:p>
      <w:pPr>
        <w:pStyle w:val="BodyText"/>
      </w:pPr>
      <w:r>
        <w:rPr>
          <w:rFonts w:hint="eastAsia"/>
        </w:rPr>
        <w:t xml:space="preserve">关键词体系以China、Chinese为基础，扩展至PRC、CCP、Beijing、Taiwan、Hong</w:t>
      </w:r>
      <w:r>
        <w:t xml:space="preserve"> </w:t>
      </w:r>
      <w:r>
        <w:rPr>
          <w:rFonts w:hint="eastAsia"/>
        </w:rPr>
        <w:t xml:space="preserve">Kong、Xinjiang、Uyghur、Tibet，以及华为、中兴、字节跳动、DeepSeek、1260H清单、“受关注外国实体”、“外国对手”等技术、企业和供应链词汇，在法案标题、立法主题、国会研究服务处摘要和法案全文四个层面分别匹配。对机器匹配结果逐项人工复核，排除仅在文本中偶然提及中国、主要处理国内族裔事务、以“外国对手”统称而未实际指向中国的记录。经复核，观察期内全国会涉华法案和决议共528项，其中由基础样本成员主提的56项；以中国为主要规制对象者（A类）37项，含有明确涉华条款或将中国列为“涵盖国家”者（B类）19项。</w:t>
      </w:r>
      <w:r>
        <w:rPr>
          <w:rStyle w:val="FootnoteReference"/>
        </w:rPr>
        <w:footnoteReference w:id="22"/>
      </w:r>
    </w:p>
    <w:bookmarkEnd w:id="23"/>
    <w:bookmarkStart w:id="24" w:name="一群体规模与基本分布"/>
    <w:p>
      <w:pPr>
        <w:pStyle w:val="Heading2"/>
      </w:pPr>
      <w:r>
        <w:rPr>
          <w:rFonts w:hint="eastAsia"/>
        </w:rPr>
        <w:t xml:space="preserve">（一）群体规模与基本分布</w:t>
      </w:r>
    </w:p>
    <w:p>
      <w:pPr>
        <w:pStyle w:val="FirstParagraph"/>
      </w:pPr>
      <w:r>
        <w:rPr>
          <w:rFonts w:hint="eastAsia"/>
        </w:rPr>
        <w:t xml:space="preserve">按照前述标准，第119届国会中符合年龄与资历标准的新生代议员共97人，占观察期内全部议员的17.5%。其中众议员91人、参议员6人；民主党49人、共和党47人、独立人士1人（凯文·基利〔Kevin</w:t>
      </w:r>
      <w:r>
        <w:t xml:space="preserve"> </w:t>
      </w:r>
      <w:r>
        <w:rPr>
          <w:rFonts w:hint="eastAsia"/>
        </w:rPr>
        <w:t xml:space="preserve">Kiley〕，2026年3月退出共和党）；女性30人。基础样本在基准日的平均年龄为39.9岁，中位数40岁，最年轻者为1997年出生的马克斯韦尔·弗罗斯特（Maxwell</w:t>
      </w:r>
      <w:r>
        <w:t xml:space="preserve"> </w:t>
      </w:r>
      <w:r>
        <w:rPr>
          <w:rFonts w:hint="eastAsia"/>
        </w:rPr>
        <w:t xml:space="preserve">Frost）。从进入国会的时间看，2019年首次就任者17人，2021年13人，2022年补选上任者3人，2023年32人，2024年补选上任者2人，2025年25人，2026年补选上任者5人；换言之，近三分之一的基础样本成员是在本届国会才进入国会的新人。</w:t>
      </w:r>
    </w:p>
    <w:p>
      <w:pPr>
        <w:pStyle w:val="BodyText"/>
      </w:pPr>
      <w:r>
        <w:rPr>
          <w:rFonts w:hint="eastAsia"/>
        </w:rPr>
        <w:t xml:space="preserve">在97名新生代议员中，观察期内以主提案人身份提出至少1项涉华法案或决议者31人，以主提案或联署方式参与过涉华法案者78人，完全没有涉华立法记录者19人。符合核心涉华议员标准者20人，占基础样本的20.6%（见表1）。核心样本的党派构成与基础样本明显不同：基础样本两党人数大体相当，核心样本中共和党13人、民主党7人；基础样本女性占比约三成，核心样本中仅有阿什利·欣森（Ashley</w:t>
      </w:r>
      <w:r>
        <w:t xml:space="preserve"> </w:t>
      </w:r>
      <w:r>
        <w:rPr>
          <w:rFonts w:hint="eastAsia"/>
        </w:rPr>
        <w:t xml:space="preserve">Hinson）和黑利·史蒂文斯（Haley</w:t>
      </w:r>
      <w:r>
        <w:t xml:space="preserve"> </w:t>
      </w:r>
      <w:r>
        <w:rPr>
          <w:rFonts w:hint="eastAsia"/>
        </w:rPr>
        <w:t xml:space="preserve">Stevens）2名女性。参议员在核心样本中有3人（乔什·霍利〔Josh</w:t>
      </w:r>
      <w:r>
        <w:t xml:space="preserve"> </w:t>
      </w:r>
      <w:r>
        <w:rPr>
          <w:rFonts w:hint="eastAsia"/>
        </w:rPr>
        <w:t xml:space="preserve">Hawley〕、安迪·金、蒂姆·希伊〔Tim</w:t>
      </w:r>
      <w:r>
        <w:t xml:space="preserve"> </w:t>
      </w:r>
      <w:r>
        <w:rPr>
          <w:rFonts w:hint="eastAsia"/>
        </w:rPr>
        <w:t xml:space="preserve">Sheehy〕），占基础样本中6名参议员的一半，高于众议员的入选比例（17/91）。从资历看，核心样本中有8人是2025年首次就任的新人，5人于2023年就任，2人于2021年就任，5人于2019年就任；新人在核心样本中的比例（40%）高于其在基础样本中的比例（31%），表明进入国会的时间长短并不构成参与涉华议程的门槛。</w:t>
      </w:r>
    </w:p>
    <w:p>
      <w:pPr>
        <w:pStyle w:val="BodyText"/>
      </w:pPr>
      <w:r>
        <w:rPr>
          <w:rFonts w:hint="eastAsia"/>
        </w:rPr>
        <w:t xml:space="preserve">表1</w:t>
      </w:r>
      <w:r>
        <w:t xml:space="preserve"> </w:t>
      </w:r>
      <w:r>
        <w:rPr>
          <w:rFonts w:hint="eastAsia"/>
        </w:rPr>
        <w:t xml:space="preserve">第119届国会新生代议员基础样本与核心样本的基本分布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ind w:firstLine="0"/>
            </w:pPr>
            <w:r>
              <w:rPr>
                <w:rFonts w:hint="eastAsia"/>
                <w:sz w:val="21"/>
              </w:rPr>
              <w:t xml:space="preserve">指标</w:t>
            </w:r>
          </w:p>
        </w:tc>
        <w:tc>
          <w:tcPr/>
          <w:p>
            <w:pPr>
              <w:pStyle w:val="Compact"/>
              <w:spacing w:line="240" w:lineRule="auto"/>
              <w:ind w:firstLine="0"/>
            </w:pPr>
            <w:r>
              <w:rPr>
                <w:rFonts w:hint="eastAsia"/>
                <w:sz w:val="21"/>
              </w:rPr>
              <w:t xml:space="preserve">基础样本（n=97）</w:t>
            </w:r>
          </w:p>
        </w:tc>
        <w:tc>
          <w:tcPr/>
          <w:p>
            <w:pPr>
              <w:pStyle w:val="Compact"/>
              <w:spacing w:line="240" w:lineRule="auto"/>
              <w:ind w:firstLine="0"/>
            </w:pPr>
            <w:r>
              <w:rPr>
                <w:rFonts w:hint="eastAsia"/>
                <w:sz w:val="21"/>
              </w:rPr>
              <w:t xml:space="preserve">核心样本（n=20）</w:t>
            </w:r>
          </w:p>
        </w:tc>
      </w:tr>
      <w:tr>
        <w:tc>
          <w:tcPr/>
          <w:p>
            <w:pPr>
              <w:pStyle w:val="Compact"/>
              <w:spacing w:line="240" w:lineRule="auto"/>
              <w:ind w:firstLine="0"/>
            </w:pPr>
            <w:r>
              <w:rPr>
                <w:rFonts w:hint="eastAsia"/>
                <w:sz w:val="21"/>
              </w:rPr>
              <w:t xml:space="preserve">众议员/参议员</w:t>
            </w:r>
          </w:p>
        </w:tc>
        <w:tc>
          <w:tcPr/>
          <w:p>
            <w:pPr>
              <w:pStyle w:val="Compact"/>
              <w:spacing w:line="240" w:lineRule="auto"/>
              <w:ind w:firstLine="0"/>
            </w:pPr>
            <w:r>
              <w:rPr>
                <w:sz w:val="21"/>
              </w:rPr>
              <w:t xml:space="preserve">91/6</w:t>
            </w:r>
          </w:p>
        </w:tc>
        <w:tc>
          <w:tcPr/>
          <w:p>
            <w:pPr>
              <w:pStyle w:val="Compact"/>
              <w:spacing w:line="240" w:lineRule="auto"/>
              <w:ind w:firstLine="0"/>
            </w:pPr>
            <w:r>
              <w:rPr>
                <w:sz w:val="21"/>
              </w:rPr>
              <w:t xml:space="preserve">17/3</w:t>
            </w:r>
          </w:p>
        </w:tc>
      </w:tr>
      <w:tr>
        <w:tc>
          <w:tcPr/>
          <w:p>
            <w:pPr>
              <w:pStyle w:val="Compact"/>
              <w:spacing w:line="240" w:lineRule="auto"/>
              <w:ind w:firstLine="0"/>
            </w:pPr>
            <w:r>
              <w:rPr>
                <w:rFonts w:hint="eastAsia"/>
                <w:sz w:val="21"/>
              </w:rPr>
              <w:t xml:space="preserve">共和党/民主党/独立</w:t>
            </w:r>
          </w:p>
        </w:tc>
        <w:tc>
          <w:tcPr/>
          <w:p>
            <w:pPr>
              <w:pStyle w:val="Compact"/>
              <w:spacing w:line="240" w:lineRule="auto"/>
              <w:ind w:firstLine="0"/>
            </w:pPr>
            <w:r>
              <w:rPr>
                <w:sz w:val="21"/>
              </w:rPr>
              <w:t xml:space="preserve">47/49/1</w:t>
            </w:r>
          </w:p>
        </w:tc>
        <w:tc>
          <w:tcPr/>
          <w:p>
            <w:pPr>
              <w:pStyle w:val="Compact"/>
              <w:spacing w:line="240" w:lineRule="auto"/>
              <w:ind w:firstLine="0"/>
            </w:pPr>
            <w:r>
              <w:rPr>
                <w:sz w:val="21"/>
              </w:rPr>
              <w:t xml:space="preserve">13/7/0</w:t>
            </w:r>
          </w:p>
        </w:tc>
      </w:tr>
      <w:tr>
        <w:tc>
          <w:tcPr/>
          <w:p>
            <w:pPr>
              <w:pStyle w:val="Compact"/>
              <w:spacing w:line="240" w:lineRule="auto"/>
              <w:ind w:firstLine="0"/>
            </w:pPr>
            <w:r>
              <w:rPr>
                <w:rFonts w:hint="eastAsia"/>
                <w:sz w:val="21"/>
              </w:rPr>
              <w:t xml:space="preserve">男性/女性</w:t>
            </w:r>
          </w:p>
        </w:tc>
        <w:tc>
          <w:tcPr/>
          <w:p>
            <w:pPr>
              <w:pStyle w:val="Compact"/>
              <w:spacing w:line="240" w:lineRule="auto"/>
              <w:ind w:firstLine="0"/>
            </w:pPr>
            <w:r>
              <w:rPr>
                <w:sz w:val="21"/>
              </w:rPr>
              <w:t xml:space="preserve">67/30</w:t>
            </w:r>
          </w:p>
        </w:tc>
        <w:tc>
          <w:tcPr/>
          <w:p>
            <w:pPr>
              <w:pStyle w:val="Compact"/>
              <w:spacing w:line="240" w:lineRule="auto"/>
              <w:ind w:firstLine="0"/>
            </w:pPr>
            <w:r>
              <w:rPr>
                <w:sz w:val="21"/>
              </w:rPr>
              <w:t xml:space="preserve">18/2</w:t>
            </w:r>
          </w:p>
        </w:tc>
      </w:tr>
      <w:tr>
        <w:tc>
          <w:tcPr/>
          <w:p>
            <w:pPr>
              <w:pStyle w:val="Compact"/>
              <w:spacing w:line="240" w:lineRule="auto"/>
              <w:ind w:firstLine="0"/>
            </w:pPr>
            <w:r>
              <w:rPr>
                <w:rFonts w:hint="eastAsia"/>
                <w:sz w:val="21"/>
              </w:rPr>
              <w:t xml:space="preserve">平均年龄（2025年1月3日）</w:t>
            </w:r>
          </w:p>
        </w:tc>
        <w:tc>
          <w:tcPr/>
          <w:p>
            <w:pPr>
              <w:pStyle w:val="Compact"/>
              <w:spacing w:line="240" w:lineRule="auto"/>
              <w:ind w:firstLine="0"/>
            </w:pPr>
            <w:r>
              <w:rPr>
                <w:rFonts w:hint="eastAsia"/>
                <w:sz w:val="21"/>
              </w:rPr>
              <w:t xml:space="preserve">39.9岁</w:t>
            </w:r>
          </w:p>
        </w:tc>
        <w:tc>
          <w:tcPr/>
          <w:p>
            <w:pPr>
              <w:pStyle w:val="Compact"/>
              <w:spacing w:line="240" w:lineRule="auto"/>
              <w:ind w:firstLine="0"/>
            </w:pPr>
            <w:r>
              <w:rPr>
                <w:rFonts w:hint="eastAsia"/>
                <w:sz w:val="21"/>
              </w:rPr>
              <w:t xml:space="preserve">40.5岁</w:t>
            </w:r>
          </w:p>
        </w:tc>
      </w:tr>
      <w:tr>
        <w:tc>
          <w:tcPr/>
          <w:p>
            <w:pPr>
              <w:pStyle w:val="Compact"/>
              <w:spacing w:line="240" w:lineRule="auto"/>
              <w:ind w:firstLine="0"/>
            </w:pPr>
            <w:r>
              <w:rPr>
                <w:rFonts w:hint="eastAsia"/>
                <w:sz w:val="21"/>
              </w:rPr>
              <w:t xml:space="preserve">2025年及以后首次就任者</w:t>
            </w:r>
          </w:p>
        </w:tc>
        <w:tc>
          <w:tcPr/>
          <w:p>
            <w:pPr>
              <w:pStyle w:val="Compact"/>
              <w:spacing w:line="240" w:lineRule="auto"/>
              <w:ind w:firstLine="0"/>
            </w:pPr>
            <w:r>
              <w:rPr>
                <w:rFonts w:hint="eastAsia"/>
                <w:sz w:val="21"/>
              </w:rPr>
              <w:t xml:space="preserve">30人（31%）</w:t>
            </w:r>
          </w:p>
        </w:tc>
        <w:tc>
          <w:tcPr/>
          <w:p>
            <w:pPr>
              <w:pStyle w:val="Compact"/>
              <w:spacing w:line="240" w:lineRule="auto"/>
              <w:ind w:firstLine="0"/>
            </w:pPr>
            <w:r>
              <w:rPr>
                <w:rFonts w:hint="eastAsia"/>
                <w:sz w:val="21"/>
              </w:rPr>
              <w:t xml:space="preserve">8人（40%）</w:t>
            </w:r>
          </w:p>
        </w:tc>
      </w:tr>
      <w:tr>
        <w:tc>
          <w:tcPr/>
          <w:p>
            <w:pPr>
              <w:pStyle w:val="Compact"/>
              <w:spacing w:line="240" w:lineRule="auto"/>
              <w:ind w:firstLine="0"/>
            </w:pPr>
            <w:r>
              <w:rPr>
                <w:rFonts w:hint="eastAsia"/>
                <w:sz w:val="21"/>
              </w:rPr>
              <w:t xml:space="preserve">2019年首次就任者</w:t>
            </w:r>
          </w:p>
        </w:tc>
        <w:tc>
          <w:tcPr/>
          <w:p>
            <w:pPr>
              <w:pStyle w:val="Compact"/>
              <w:spacing w:line="240" w:lineRule="auto"/>
              <w:ind w:firstLine="0"/>
            </w:pPr>
            <w:r>
              <w:rPr>
                <w:rFonts w:hint="eastAsia"/>
                <w:sz w:val="21"/>
              </w:rPr>
              <w:t xml:space="preserve">17人（18%）</w:t>
            </w:r>
          </w:p>
        </w:tc>
        <w:tc>
          <w:tcPr/>
          <w:p>
            <w:pPr>
              <w:pStyle w:val="Compact"/>
              <w:spacing w:line="240" w:lineRule="auto"/>
              <w:ind w:firstLine="0"/>
            </w:pPr>
            <w:r>
              <w:rPr>
                <w:rFonts w:hint="eastAsia"/>
                <w:sz w:val="21"/>
              </w:rPr>
              <w:t xml:space="preserve">5人（25%）</w:t>
            </w:r>
          </w:p>
        </w:tc>
      </w:tr>
      <w:tr>
        <w:tc>
          <w:tcPr/>
          <w:p>
            <w:pPr>
              <w:pStyle w:val="Compact"/>
              <w:spacing w:line="240" w:lineRule="auto"/>
              <w:ind w:firstLine="0"/>
            </w:pPr>
            <w:r>
              <w:rPr>
                <w:rFonts w:hint="eastAsia"/>
                <w:sz w:val="21"/>
              </w:rPr>
              <w:t xml:space="preserve">观察期内主提涉华法案</w:t>
            </w:r>
          </w:p>
        </w:tc>
        <w:tc>
          <w:tcPr/>
          <w:p>
            <w:pPr>
              <w:pStyle w:val="Compact"/>
              <w:spacing w:line="240" w:lineRule="auto"/>
              <w:ind w:firstLine="0"/>
            </w:pPr>
            <w:r>
              <w:rPr>
                <w:rFonts w:hint="eastAsia"/>
                <w:sz w:val="21"/>
              </w:rPr>
              <w:t xml:space="preserve">31人，56项</w:t>
            </w:r>
          </w:p>
        </w:tc>
        <w:tc>
          <w:tcPr/>
          <w:p>
            <w:pPr>
              <w:pStyle w:val="Compact"/>
              <w:spacing w:line="240" w:lineRule="auto"/>
              <w:ind w:firstLine="0"/>
            </w:pPr>
            <w:r>
              <w:rPr>
                <w:rFonts w:hint="eastAsia"/>
                <w:sz w:val="21"/>
              </w:rPr>
              <w:t xml:space="preserve">20人，45项</w:t>
            </w:r>
          </w:p>
        </w:tc>
      </w:tr>
      <w:tr>
        <w:tc>
          <w:tcPr/>
          <w:p>
            <w:pPr>
              <w:pStyle w:val="Compact"/>
              <w:spacing w:line="240" w:lineRule="auto"/>
              <w:ind w:firstLine="0"/>
            </w:pPr>
            <w:r>
              <w:rPr>
                <w:rFonts w:hint="eastAsia"/>
                <w:sz w:val="21"/>
              </w:rPr>
              <w:t xml:space="preserve">观察期内联署涉华法案</w:t>
            </w:r>
          </w:p>
        </w:tc>
        <w:tc>
          <w:tcPr/>
          <w:p>
            <w:pPr>
              <w:pStyle w:val="Compact"/>
              <w:spacing w:line="240" w:lineRule="auto"/>
              <w:ind w:firstLine="0"/>
            </w:pPr>
            <w:r>
              <w:rPr>
                <w:rFonts w:hint="eastAsia"/>
                <w:sz w:val="21"/>
              </w:rPr>
              <w:t xml:space="preserve">77人，446人次</w:t>
            </w:r>
          </w:p>
        </w:tc>
        <w:tc>
          <w:tcPr/>
          <w:p>
            <w:pPr>
              <w:pStyle w:val="Compact"/>
              <w:spacing w:line="240" w:lineRule="auto"/>
              <w:ind w:firstLine="0"/>
            </w:pPr>
            <w:r>
              <w:rPr>
                <w:rFonts w:hint="eastAsia"/>
                <w:sz w:val="21"/>
              </w:rPr>
              <w:t xml:space="preserve">20人，203人次</w:t>
            </w:r>
          </w:p>
        </w:tc>
      </w:tr>
    </w:tbl>
    <w:p>
      <w:pPr>
        <w:pStyle w:val="BodyText"/>
      </w:pPr>
      <w:r>
        <w:rPr>
          <w:rFonts w:hint="eastAsia"/>
        </w:rPr>
        <w:t xml:space="preserve">资料来源：笔者根据Congress.gov与GovInfo第119届国会法案数据整理，检索截止日为2026年10月29日。</w:t>
      </w:r>
    </w:p>
    <w:p>
      <w:pPr>
        <w:pStyle w:val="BodyText"/>
      </w:pPr>
      <w:r>
        <w:rPr>
          <w:rFonts w:hint="eastAsia"/>
        </w:rPr>
        <w:t xml:space="preserve">需要指出的是，新生代议员在国会涉华立法总量中并不占据突出位置。观察期内全国会528项涉华法案和决议由190名议员主提，主提案人的年龄中位数为59岁；按主提案人年龄分组，65岁以上议员主提176项（33.3%），56～65岁165项（31.3%），46～55岁114项（21.6%），45岁及以下者73项（13.8%）。在45岁及以下议员主提的73项中，由“年轻资深型”议员主提的有16项（班克斯9项、斯特凡尼克4项、史密斯、马斯特、加列戈各1项），由基础样本成员主提的为56项，占全部涉华法案的10.6%。与此相对照，基础样本成员在观察期内主提的全部法案为2855项，占国会全部法案的14.4%。也就是说，就涉华立法的供给而言，新生代议员的参与程度低于其在国会立法总量中的份额，国会涉华立法的主要供给者仍是约翰·穆勒纳尔（John</w:t>
      </w:r>
      <w:r>
        <w:t xml:space="preserve"> </w:t>
      </w:r>
      <w:r>
        <w:rPr>
          <w:rFonts w:hint="eastAsia"/>
        </w:rPr>
        <w:t xml:space="preserve">Moolenaar）、金映玉（Young</w:t>
      </w:r>
      <w:r>
        <w:t xml:space="preserve"> </w:t>
      </w:r>
      <w:r>
        <w:rPr>
          <w:rFonts w:hint="eastAsia"/>
        </w:rPr>
        <w:t xml:space="preserve">Kim）、乔·威尔逊（Joe</w:t>
      </w:r>
      <w:r>
        <w:t xml:space="preserve"> </w:t>
      </w:r>
      <w:r>
        <w:rPr>
          <w:rFonts w:hint="eastAsia"/>
        </w:rPr>
        <w:t xml:space="preserve">Wilson）、克里斯·史密斯（Chris</w:t>
      </w:r>
      <w:r>
        <w:t xml:space="preserve"> </w:t>
      </w:r>
      <w:r>
        <w:rPr>
          <w:rFonts w:hint="eastAsia"/>
        </w:rPr>
        <w:t xml:space="preserve">Smith）等资深议员。但这一群体的涉华行为呈现出高度集中的特点：20名核心议员以不到国会总人数4%的规模，贡献了全部涉华法案的8.5%，其中迈克尔·劳勒（Michael</w:t>
      </w:r>
      <w:r>
        <w:t xml:space="preserve"> </w:t>
      </w:r>
      <w:r>
        <w:rPr>
          <w:rFonts w:hint="eastAsia"/>
        </w:rPr>
        <w:t xml:space="preserve">Lawler）、帕特·哈里根（Pat</w:t>
      </w:r>
      <w:r>
        <w:t xml:space="preserve"> </w:t>
      </w:r>
      <w:r>
        <w:rPr>
          <w:rFonts w:hint="eastAsia"/>
        </w:rPr>
        <w:t xml:space="preserve">Harrigan）、科里·米尔斯（Cory</w:t>
      </w:r>
      <w:r>
        <w:t xml:space="preserve"> </w:t>
      </w:r>
      <w:r>
        <w:rPr>
          <w:rFonts w:hint="eastAsia"/>
        </w:rPr>
        <w:t xml:space="preserve">Mills）各主提4项，扎卡里·纳恩（Zachary</w:t>
      </w:r>
      <w:r>
        <w:t xml:space="preserve"> </w:t>
      </w:r>
      <w:r>
        <w:rPr>
          <w:rFonts w:hint="eastAsia"/>
        </w:rPr>
        <w:t xml:space="preserve">Nunn）、兰斯·古登（Lance</w:t>
      </w:r>
      <w:r>
        <w:t xml:space="preserve"> </w:t>
      </w:r>
      <w:r>
        <w:rPr>
          <w:rFonts w:hint="eastAsia"/>
        </w:rPr>
        <w:t xml:space="preserve">Gooden）、欣森、霍利、苏哈斯·苏布拉曼尼亚姆（Suhas</w:t>
      </w:r>
      <w:r>
        <w:t xml:space="preserve"> </w:t>
      </w:r>
      <w:r>
        <w:rPr>
          <w:rFonts w:hint="eastAsia"/>
        </w:rPr>
        <w:t xml:space="preserve">Subramanyam）、史蒂文斯各主提3项。</w:t>
      </w:r>
    </w:p>
    <w:p>
      <w:pPr>
        <w:pStyle w:val="BodyText"/>
      </w:pPr>
      <w:r>
        <w:rPr>
          <w:rFonts w:hint="eastAsia"/>
        </w:rPr>
        <w:t xml:space="preserve">跨党派参与的情况值得单独说明。基础样本成员联署涉华法案共446人次，其中共和党成员联署共和党法案248人次，民主党成员联署共和党法案87人次，民主党成员联署民主党法案69人次，共和党成员联署民主党法案40人次。民主党新生代议员联署共和党涉华法案的次数超过联署本党法案的次数，这一方面反映出共和党在涉华法案供给上的绝对优势（528项中405项由共和党议员主提），另一方面也表明民主党新生代议员在涉华议题上更多采取“加入”而非“另立”的策略。</w:t>
      </w:r>
    </w:p>
    <w:bookmarkEnd w:id="24"/>
    <w:bookmarkStart w:id="25" w:name="二职业教育与专业背景"/>
    <w:p>
      <w:pPr>
        <w:pStyle w:val="Heading2"/>
      </w:pPr>
      <w:r>
        <w:rPr>
          <w:rFonts w:hint="eastAsia"/>
        </w:rPr>
        <w:t xml:space="preserve">（二）职业、教育与专业背景</w:t>
      </w:r>
    </w:p>
    <w:p>
      <w:pPr>
        <w:pStyle w:val="FirstParagraph"/>
      </w:pPr>
      <w:r>
        <w:rPr>
          <w:rFonts w:hint="eastAsia"/>
        </w:rPr>
        <w:t xml:space="preserve">新生代议员的职业来源相对集中。在97名基础样本成员中，约26人有现役或预备役服役经历（约27%），比例高于第119届国会整体约五分之一的水平；约27人拥有法律博士学位并有执业或检察经历；约29人曾担任州议员；约16人曾担任市县一级民选职务；约8人曾长期担任国会议员助理。这几类背景在核心样本中进一步放大：20名核心议员中有9人具有军事背景，5人为执业律师出身，8人曾任州议员，3人曾在白宫或国家安全委员会任职。</w:t>
      </w:r>
    </w:p>
    <w:p>
      <w:pPr>
        <w:pStyle w:val="BodyText"/>
      </w:pPr>
      <w:r>
        <w:rPr>
          <w:rFonts w:hint="eastAsia"/>
        </w:rPr>
        <w:t xml:space="preserve">军事背景的核心议员以陆军和特种作战人员居多，且多有海外作战经历。哈里根2009年毕业于西点军校，先后在第25步兵师和第3特种作战大队服役，两次赴阿富汗作战并获铜星勋章；丹·克伦肖（Dan</w:t>
      </w:r>
      <w:r>
        <w:t xml:space="preserve"> </w:t>
      </w:r>
      <w:r>
        <w:rPr>
          <w:rFonts w:hint="eastAsia"/>
        </w:rPr>
        <w:t xml:space="preserve">Crenshaw）和希伊均为海豹突击队军官，分别在伊拉克、阿富汗服役；米尔斯曾在第82空降师服役，参加科索沃和伊拉克战争；加布·埃文斯（Gabe</w:t>
      </w:r>
      <w:r>
        <w:t xml:space="preserve"> </w:t>
      </w:r>
      <w:r>
        <w:rPr>
          <w:rFonts w:hint="eastAsia"/>
        </w:rPr>
        <w:t xml:space="preserve">Evans）曾任陆军飞行员和警察；马克斯·米勒（Max</w:t>
      </w:r>
      <w:r>
        <w:t xml:space="preserve"> </w:t>
      </w:r>
      <w:r>
        <w:rPr>
          <w:rFonts w:hint="eastAsia"/>
        </w:rPr>
        <w:t xml:space="preserve">Miller）为海军陆战队预备役人员。纳恩的军事经历更接近情报与战略层面，他是美国空军情报官，拥有700余小时作战飞行记录，曾在国家安全委员会担任网络安全政策主任，现为空军预备役上校；亚伯拉罕·哈马德（Abraham</w:t>
      </w:r>
      <w:r>
        <w:t xml:space="preserve"> </w:t>
      </w:r>
      <w:r>
        <w:rPr>
          <w:rFonts w:hint="eastAsia"/>
        </w:rPr>
        <w:t xml:space="preserve">Hamadeh）为陆军预备役军事情报军官。这种以一线作战和情报分析为主的军事经历，与其涉华议题选择之间存在明显对应：哈里根在军事委员会提出的修正案和法案集中于军事基地安全、台湾能源封锁和供应链；纳恩的法案聚焦台湾防务创新伙伴关系和中国对台军事行动的金融后果；米尔斯的法案涉及使领馆建设安全和国务院授权。</w:t>
      </w:r>
    </w:p>
    <w:p>
      <w:pPr>
        <w:pStyle w:val="BodyText"/>
      </w:pPr>
      <w:r>
        <w:rPr>
          <w:rFonts w:hint="eastAsia"/>
        </w:rPr>
        <w:t xml:space="preserve">法律背景的核心议员呈现出另一种路径。霍利毕业于斯坦福大学和耶鲁大学法学院，曾任密苏里州总检察长，其涉华法案延续了州总检察长时期对大型企业的强硬立场，聚焦人工智能脱钩和禁止中国实体购买美国农地与住宅。苏布拉曼尼亚姆毕业于杜兰大学和西北大学法学院，2015年至2017年在奥巴马白宫担任科技政策顾问，进入国会后的三项涉华法案全部围绕新疆强迫劳动展开，分别涉及难民接收、国际金融机构投票和上市公司信息披露。哈马德曾任马里科帕县检察官，其涉华行动集中于议会内部的信息安全（禁止在众议院设施内分发中共控制的出版物）。</w:t>
      </w:r>
    </w:p>
    <w:p>
      <w:pPr>
        <w:pStyle w:val="BodyText"/>
      </w:pPr>
      <w:r>
        <w:rPr>
          <w:rFonts w:hint="eastAsia"/>
        </w:rPr>
        <w:t xml:space="preserve">具有行政部门经历者在涉华议题上表现出更强的机制设计偏好。安迪·金拥有牛津大学国际关系博士学位，曾在美国国际开发署、国务院伊拉克事务办公室和国家安全委员会任职，是20名核心议员中唯一有正式外交和国家安全决策经历者，其在参议院的涉华行动偏重出口管制的盟友协调和量子技术投资。史蒂文斯曾在奥巴马政府财政部汽车业工作组任职，其涉华法案始终围绕汽车产业与中国竞争展开。里奇·托雷斯（Ritchie</w:t>
      </w:r>
      <w:r>
        <w:t xml:space="preserve"> </w:t>
      </w:r>
      <w:r>
        <w:rPr>
          <w:rFonts w:hint="eastAsia"/>
        </w:rPr>
        <w:t xml:space="preserve">Torres）出身纽约市议会，进入众议院后进入金融服务委员会和中国问题特设委员会，其涉华行动以金融制裁和高校外国捐赠为主。詹姆斯·沃金肖长期担任众议员杰拉尔德·康诺利（Gerald</w:t>
      </w:r>
      <w:r>
        <w:t xml:space="preserve"> </w:t>
      </w:r>
      <w:r>
        <w:rPr>
          <w:rFonts w:hint="eastAsia"/>
        </w:rPr>
        <w:t xml:space="preserve">Connolly）的幕僚长，2025年9月通过特别选举接替已故的康诺利，就任后不到一年即主提支持台湾民主的决议，并延续了康诺利在台湾议题上的立场。</w:t>
      </w:r>
    </w:p>
    <w:p>
      <w:pPr>
        <w:pStyle w:val="BodyText"/>
      </w:pPr>
      <w:r>
        <w:rPr>
          <w:rFonts w:hint="eastAsia"/>
        </w:rPr>
        <w:t xml:space="preserve">教育层面，核心议员普遍拥有高等教育学位，但名校集中度低于既有研究对前几届新生代议员的观察。20人中拥有法学博士学位者5人，博士学位者1人（安迪·金），其余多为本科或硕士学历；哈里根（西点军校核工程）、希伊（海军学院）等具有理工或军事院校背景。海外经历方面，除军事部署外，纳恩曾在剑桥大学获得硕士学位，安迪·金为罗德学者。从公开履历看，20名核心议员中没有人具有汉语学习、在华工作或中国研究的专业背景，其对华认知主要来自国家安全和产业竞争领域的工作经验，这意味着该群体的涉华行为更多由美国国内的安全与产业议程驱动，而非出于对中国的专门认知。</w:t>
      </w:r>
    </w:p>
    <w:bookmarkEnd w:id="25"/>
    <w:bookmarkStart w:id="26" w:name="三国会资历与政治进路"/>
    <w:p>
      <w:pPr>
        <w:pStyle w:val="Heading2"/>
      </w:pPr>
      <w:r>
        <w:rPr>
          <w:rFonts w:hint="eastAsia"/>
        </w:rPr>
        <w:t xml:space="preserve">（三）国会资历与政治进路</w:t>
      </w:r>
    </w:p>
    <w:p>
      <w:pPr>
        <w:pStyle w:val="FirstParagraph"/>
      </w:pPr>
      <w:r>
        <w:rPr>
          <w:rFonts w:hint="eastAsia"/>
        </w:rPr>
        <w:t xml:space="preserve">从进入国会的路径看，核心议员可以分为四类。第一类是州议会路径，共8人：劳勒（纽约州众议员，2021～2022年）、纳恩（艾奥瓦州众议员和参议员，2015～2023年）、欣森（艾奥瓦州众议员，2017～2021年）、古登（得克萨斯州众议员，2011～2015年、2017～2019年）、苏布拉曼尼亚姆（弗吉尼亚州众议员和参议员，2020～2025年）、埃文斯（科罗拉多州众议员，2023～2025年）、贾里德·莫斯科维茨（Jared</w:t>
      </w:r>
      <w:r>
        <w:t xml:space="preserve"> </w:t>
      </w:r>
      <w:r>
        <w:rPr>
          <w:rFonts w:hint="eastAsia"/>
        </w:rPr>
        <w:t xml:space="preserve">Moskowitz，佛罗里达州众议员，2012～2019年）和赖利·穆尔（Riley</w:t>
      </w:r>
      <w:r>
        <w:t xml:space="preserve"> </w:t>
      </w:r>
      <w:r>
        <w:rPr>
          <w:rFonts w:hint="eastAsia"/>
        </w:rPr>
        <w:t xml:space="preserve">Moore，西弗吉尼亚州众议员，2017～2019年）。第二类是州或地方行政路径：霍利曾任密苏里州总检察长，穆尔曾任西弗吉尼亚州财政部长，莫斯科维茨曾任佛罗里达州应急管理局局长，托雷斯曾任纽约市议员。第三类是联邦行政部门与国会幕僚路径：安迪·金、米勒（特朗普第一任期白宫助理）、史蒂文斯、沃金肖。第四类是“非政治新人”，即此前未担任过任何民选或政务职务，直接从军队、企业或媒体进入国会：哈里根（退役后创办枪械企业）、希伊（退役后创办航空灭火企业）、克伦肖、米尔斯、哈马德、德里克·陈（Derek</w:t>
      </w:r>
      <w:r>
        <w:t xml:space="preserve"> </w:t>
      </w:r>
      <w:r>
        <w:rPr>
          <w:rFonts w:hint="eastAsia"/>
        </w:rPr>
        <w:t xml:space="preserve">Tran，律师）、欣森（当选州议员前为地方电视台主播）。</w:t>
      </w:r>
    </w:p>
    <w:p>
      <w:pPr>
        <w:pStyle w:val="BodyText"/>
      </w:pPr>
      <w:r>
        <w:rPr>
          <w:rFonts w:hint="eastAsia"/>
        </w:rPr>
        <w:t xml:space="preserve">从资历积累看，核心样本中有5人于2019年就任，已进入第四届任期，正处于从后排议员向小组委员会负责人过渡的阶段。霍利自2019年起任参议员，现任参议院司法委员会犯罪与反恐小组委员会主席；克伦肖任众议院情报委员会小组委员会主席；史蒂文斯任众议院科学委员会研究与技术小组委员会首席民主党成员；古登任司法委员会和军事委员会成员；安迪·金以众议员身份完成三届任期后于2024年12月提前就任参议员，现任银行委员会国家安全与国际贸易小组委员会首席民主党成员。2023年就任的5人中，劳勒在第二届任期即出任众议院外交委员会中东与北非小组委员会主席，米尔斯出任外交委员会监督与情报小组委员会主席，纳恩担任金融服务委员会国家安全、非法金融与国际金融机构小组委员会副主席。2025年就任的8名新人均无小组委员会领导职务，其中苏布拉曼尼亚姆作为新人出任监督委员会军事与外交事务小组委员会首席民主党成员，是少数例外。</w:t>
      </w:r>
    </w:p>
    <w:p>
      <w:pPr>
        <w:pStyle w:val="BodyText"/>
      </w:pPr>
      <w:r>
        <w:rPr>
          <w:rFonts w:hint="eastAsia"/>
        </w:rPr>
        <w:t xml:space="preserve">涉华议题在核心议员的政治进路中承担着不同功能。对艾奥瓦州的欣森和纳恩而言，涉华议题是连接选区农业利益与国家安全议程的纽带，欣森在2026年6月以约74%的得票率赢得共和党联邦参议员初选，其在中国问题特设委员会和拨款委员会的职务是其由众议院转向参议院的主要政治资本之一；纳恩所在的艾奥瓦州第3选区竞争激烈，其在特设委员会的活动与选区农业安全议题高度契合。对史蒂文斯而言，涉华议题是其从汽车产业背景转向国家安全领域的桥梁，她在2026年密歇根州民主党联邦参议员初选中以不到1个百分点的差距落败，涉华立法是其竞选中为数不多的跨党派政绩。对劳勒而言，涉华议题则是维持“两党合作”形象的重要载体，他以53项联署成为基础样本中联署涉华法案最多的议员，且其中12项为民主党议员主提的法案。</w:t>
      </w:r>
    </w:p>
    <w:p>
      <w:pPr>
        <w:pStyle w:val="BodyText"/>
      </w:pPr>
      <w:r>
        <w:rPr>
          <w:rFonts w:hint="eastAsia"/>
        </w:rPr>
        <w:t xml:space="preserve">与党内领导层和特朗普阵营的关系是理解共和党核心议员行为的重要维度。米勒曾任特朗普白宫助理，哈马德在2024年初选中获得特朗普背书，米尔斯曾任特朗普任命的国防商业委员会成员，三人在涉华议题上的立场与白宫基本一致，行动偏重象征性强硬。劳勒、纳恩、埃文斯所在选区均为两党竞争激烈的摇摆选区，三人在涉华议题上倾向于寻求民主党联署，在关税等议题上与白宫保持距离。霍利代表共和党内的“民粹—民族主义”路线，其对华立场强硬，但在大型科技企业监管、劳工等议题上与白宫和共和党领导层存在明显分歧。民主党核心议员中，安迪·金、苏布拉曼尼亚姆、史蒂文斯属于党内主流偏温和的一翼，托雷斯和莫斯科维茨以跨党派合作著称，陈和沃金肖则是2025年才进入国会的新人；民主党核心议员在涉华议题上与共和党同行的合作频率明显高于其与本党进步派同事的合作。</w:t>
      </w:r>
    </w:p>
    <w:bookmarkEnd w:id="26"/>
    <w:bookmarkStart w:id="27" w:name="四党派选区与利益结构"/>
    <w:p>
      <w:pPr>
        <w:pStyle w:val="Heading2"/>
      </w:pPr>
      <w:r>
        <w:rPr>
          <w:rFonts w:hint="eastAsia"/>
        </w:rPr>
        <w:t xml:space="preserve">（四）党派、选区与利益结构</w:t>
      </w:r>
    </w:p>
    <w:p>
      <w:pPr>
        <w:pStyle w:val="FirstParagraph"/>
      </w:pPr>
      <w:r>
        <w:rPr>
          <w:rFonts w:hint="eastAsia"/>
        </w:rPr>
        <w:t xml:space="preserve">第119届国会由共和党同时掌控两院，这决定了两党新生代议员在涉华议题上的不同处境。共和党新生代议员处于多数党地位，有机会获得小组委员会主席职位、在委员会审议中推动本人修正案，并借助共和党的涉华立法供给优势扩大联署网络。民主党新生代议员处于少数党地位，难以单独推动法案进入委员会审议程序，更多通过联署共和党法案、提出两党共同提案或在特设委员会中发声来参与涉华议程。核心样本中共和党占13席、民主党占7席，以及民主党成员联署共和党法案多于联署本党法案的情况，均与这一党派位置有关。</w:t>
      </w:r>
    </w:p>
    <w:p>
      <w:pPr>
        <w:pStyle w:val="BodyText"/>
      </w:pPr>
      <w:r>
        <w:rPr>
          <w:rFonts w:hint="eastAsia"/>
        </w:rPr>
        <w:t xml:space="preserve">选区竞争程度影响着涉华行动的风格。劳勒的纽约州第17选区、纳恩的艾奥瓦州第3选区和埃文斯的科罗拉多州第8选区均被两党视为2026年中期选举的重点争夺目标，三人在涉华法案上普遍寻求跨党派联署：劳勒的四项法案中有三项获得民主党议员联署，纳恩《巩固美国市场免受中国军事侵略法》的18名联署人中有6名民主党人，埃文斯的《全球投资促进美国就业法》由两党议员联署并在2025年6月获众议院通过。相比之下，代表安全选区的米尔斯（佛罗里达州第7选区）和古登（得克萨斯州第5选区）的法案联署人以共和党人为主，古登《保护美国创新与经济安全免受中共侵害法》的13名联署人全部为共和党人，立场表达也更为尖锐。</w:t>
      </w:r>
    </w:p>
    <w:p>
      <w:pPr>
        <w:pStyle w:val="BodyText"/>
      </w:pPr>
      <w:r>
        <w:rPr>
          <w:rFonts w:hint="eastAsia"/>
        </w:rPr>
        <w:t xml:space="preserve">选区产业结构与涉华议题选择之间的对应关系在农业州和制造业州最为明显。艾奥瓦州是美国大豆和玉米的主要产区，也是中国购买美国农产品的直接受益者，但欣森和纳恩的涉华法案均将重点放在“对华依赖”的风险一侧：欣森的《保障美国农业安全法》要求农业部年度评估美国对中国关键农业投入品的依赖程度，纳恩则以主提或联署方式参与了禁止中国实体购买美国农地的多项法案。这种选择反映出在共和党选民基础中，“对华强硬”相较于“维护对华出口”已成为更安全的政治立场，即便在农业州亦是如此。密歇根州的史蒂文斯连续提出《禁止中国汽车法》和《保护美国免受中国汽车侵害法》，并联署《2026年联网汽车安全法》，其选区所在的奥克兰县是美国汽车产业的研发中心。蒙大拿州的希伊和俄亥俄州的米勒共同提出《中非矿业透明法》，与两州对关键矿产和制造业供应链的关注相关。得克萨斯州的克伦肖提出针对电网设备和非法捕捞的法案，与该州能源和墨西哥湾渔业利益对应。</w:t>
      </w:r>
    </w:p>
    <w:p>
      <w:pPr>
        <w:pStyle w:val="BodyText"/>
      </w:pPr>
      <w:r>
        <w:rPr>
          <w:rFonts w:hint="eastAsia"/>
        </w:rPr>
        <w:t xml:space="preserve">军事设施与安全机构在选区内的分布也塑造了部分议员的涉华议题。哈里根在军事委员会推动的禁止中共控制零售商在军事基地经营的修正案，以及要求逐步淘汰中国药品原料的修正案，均以军人及其家属的日常安全为切入点。哈马德的亚利桑那州第8选区毗邻卢克空军基地，陈的加利福尼亚州第45选区拥有美国最大的越南裔社区，陈提出的《打击中共影响力法》要求国家情报总监评估中共的恶意影响活动，与其选区对威权政府海外渗透的敏感相关。弗吉尼亚州北部的苏布拉曼尼亚姆和沃金肖所在选区聚集了大量联邦雇员、国防承包商和数据中心，两人分别在监督委员会和国土安全委员会任职，其涉华行动分别以人权和台湾议题为主，与选区的直接经济利益关联较弱，更多体现为对民主党外交政策传统议题的继承。</w:t>
      </w:r>
    </w:p>
    <w:bookmarkEnd w:id="27"/>
    <w:bookmarkStart w:id="29" w:name="五制度位置与议程塑造能力"/>
    <w:p>
      <w:pPr>
        <w:pStyle w:val="Heading2"/>
      </w:pPr>
      <w:r>
        <w:rPr>
          <w:rFonts w:hint="eastAsia"/>
        </w:rPr>
        <w:t xml:space="preserve">（五）制度位置与议程塑造能力</w:t>
      </w:r>
    </w:p>
    <w:p>
      <w:pPr>
        <w:pStyle w:val="FirstParagraph"/>
      </w:pPr>
      <w:r>
        <w:rPr>
          <w:rFonts w:hint="eastAsia"/>
        </w:rPr>
        <w:t xml:space="preserve">委员会席位是新生代议员介入涉华议程的主要制度资源。在97名基础样本成员中，13人进入众议院军事委员会，11人进入外交委员会，9人进入拨款委员会，10人进入司法委员会，9人进入能源与商务委员会，7人进入金融服务委员会，4人进入中国问题特设委员会（欣森、纳恩、史蒂文斯、托雷斯），2人进入情报委员会（克伦肖、布兰登·吉尔）。核心样本的委员会分布更为集中：20人中有6人任职于两院军事委员会（哈里根、米尔斯、古登、哈马德、陈、希伊），4人任职于众议院外交委员会（劳勒、米尔斯、米勒、莫斯科维茨），4人任职于金融服务委员会或参议院银行委员会（劳勒、纳恩、托雷斯、安迪·金），4人任职于中国问题特设委员会，2人任职于拨款委员会（欣森、穆尔）。进入中国问题特设委员会的4名基础样本成员全部进入核心样本，表明该委员会对新生代议员涉华行为具有明显的组织和激励作用。</w:t>
      </w:r>
    </w:p>
    <w:p>
      <w:pPr>
        <w:pStyle w:val="BodyText"/>
      </w:pPr>
      <w:r>
        <w:rPr>
          <w:rFonts w:hint="eastAsia"/>
        </w:rPr>
        <w:t xml:space="preserve">在领导职务层面，新生代议员的制度位置总体有限。基础样本中仅有2人担任众议院常设委员会主席：安德鲁·加巴里诺（Andrew</w:t>
      </w:r>
      <w:r>
        <w:t xml:space="preserve"> </w:t>
      </w:r>
      <w:r>
        <w:rPr>
          <w:rFonts w:hint="eastAsia"/>
        </w:rPr>
        <w:t xml:space="preserve">Garbarino）于2025年7月接任国土安全委员会主席，布赖恩·斯泰尔（Bryan</w:t>
      </w:r>
      <w:r>
        <w:t xml:space="preserve"> </w:t>
      </w:r>
      <w:r>
        <w:rPr>
          <w:rFonts w:hint="eastAsia"/>
        </w:rPr>
        <w:t xml:space="preserve">Steil）任众议院行政委员会主席；两人均未主提涉华法案，加巴里诺联署6项，斯泰尔联署2项。核心议员中无人担任常设委员会主席或首席成员，担任小组委员会主席者4人（劳勒、米尔斯、克伦肖、霍利），担任小组委员会首席民主党成员者4人（安迪·金、苏布拉曼尼亚姆、史蒂文斯、莫斯科维茨）。这意味着核心议员一般不具备自行安排听证、决定委员会议程的程序权力，其法案能否进入审议环节取决于委员会主席的态度。观察期内由核心议员主提并获委员会通过的法案共5项，分别是古登的《保护美国创新与经济安全免受中共侵害法》（司法委员会，2026年6月列入联盟日程）、米勒的《对手法》（外交委员会，2026年4月以44票对0票通过）、克伦肖的《渔业法》（自然资源委员会，2026年4月一致同意通过）、埃文斯的《开源人工智能领导力法》（能源与商务委员会，2026年9月以26票对21票通过）和米尔斯的国务卿授权法案（外交委员会，2025年9月以27票对20票通过）；获众议院通过者1项，即埃文斯的《全球投资促进美国就业法》（2025年6月）。上述6项法案的主提人均为共和党人，且其所在委员会主席均对相关议题持积极态度。</w:t>
      </w:r>
    </w:p>
    <w:p>
      <w:pPr>
        <w:pStyle w:val="BodyText"/>
      </w:pPr>
      <w:r>
        <w:rPr>
          <w:rFonts w:hint="eastAsia"/>
        </w:rPr>
        <w:t xml:space="preserve">在缺乏程序权力的情况下，新生代议员主要通过三种方式弥补资历不足。一是依托委员会审议中的修正案程序，将本人的政策主张附加于必须通过的大型法案。哈里根在众议院军事委员会2026财年国防授权法审议中提出的18项修正案有17项获得采纳，纳恩在同一法案众议院审议中有9项修正案获采纳，两人均是2023年及以后进入国会的后排议员。</w:t>
      </w:r>
      <w:r>
        <w:rPr>
          <w:rStyle w:val="FootnoteReference"/>
        </w:rPr>
        <w:footnoteReference w:id="28"/>
      </w:r>
      <w:r>
        <w:rPr>
          <w:rFonts w:hint="eastAsia"/>
        </w:rPr>
        <w:t xml:space="preserve">二是借助跨党派联署和两院配套法案扩大法案的可见度。劳勒与安迪·金分别在众参两院提出内容相同的《推进美国量子领导力法》，米勒与希伊分别提出《中非矿业透明法》，纳恩的《巩固美国市场免受中国军事侵略法》获得托雷斯、劳勒等跨党派议员联署。三是依托中国问题特设委员会、国会—行政部门中国委员会等专门机构获得议题平台。纳恩同时是特设委员会和国会—行政部门中国委员会成员，欣森和史蒂文斯通过特设委员会的调查报告和公开信参与涉华议程。</w:t>
      </w:r>
    </w:p>
    <w:p>
      <w:pPr>
        <w:pStyle w:val="BodyText"/>
      </w:pPr>
      <w:r>
        <w:rPr>
          <w:rFonts w:hint="eastAsia"/>
        </w:rPr>
        <w:t xml:space="preserve">比较“高活跃度”与“高影响力”议员的制度资源可以发现，两者并不一致。劳勒、哈里根、米尔斯各主提4项涉华法案，活跃度最高，但其中仅哈里根通过军事委员会修正案渠道实现了政策内容的落地，劳勒的法案无一进入委员会审议，米尔斯4项法案中仅国务卿授权法案获委员会通过且该法案并非专门涉华法案。欣森、穆尔身处拨款委员会，埃文斯身处能源与商务委员会，其主提法案数量不多，但所处委员会掌握经费和产业管辖权，法案推进的可能性更大。加巴里诺、斯泰尔、凯蒂·布里特（Katie</w:t>
      </w:r>
      <w:r>
        <w:t xml:space="preserve"> </w:t>
      </w:r>
      <w:r>
        <w:rPr>
          <w:rFonts w:hint="eastAsia"/>
        </w:rPr>
        <w:t xml:space="preserve">Britt，参议院拨款委员会国土安全小组委员会主席）等拥有较高制度位置的新生代议员，在涉华议题上基本处于“沉默”状态，表明制度位置本身并不自动转化为涉华议程的塑造能力。</w:t>
      </w:r>
    </w:p>
    <w:bookmarkEnd w:id="29"/>
    <w:bookmarkStart w:id="31" w:name="一涉华行动的规模与时间变化"/>
    <w:p>
      <w:pPr>
        <w:pStyle w:val="Heading2"/>
      </w:pPr>
      <w:r>
        <w:rPr>
          <w:rFonts w:hint="eastAsia"/>
        </w:rPr>
        <w:t xml:space="preserve">（一）涉华行动的规模与时间变化</w:t>
      </w:r>
    </w:p>
    <w:p>
      <w:pPr>
        <w:pStyle w:val="FirstParagraph"/>
      </w:pPr>
      <w:r>
        <w:rPr>
          <w:rFonts w:hint="eastAsia"/>
        </w:rPr>
        <w:t xml:space="preserve">观察期内，基础样本成员以主提案人身份提出的涉华法案和决议经人工复核后共56项，其中众议院法案48项、参议院法案5项、众议院决议3项；以中国为主要规制对象的A类37项，含有明确涉华条款或将中国列为“涵盖国家”的B类19项。同期，基础样本成员联署涉华法案446人次，主提与联署的比例约为1比8，表明联署是新生代议员参与涉华议程最常见的方式。在修正案层面，哈里根和纳恩在2026财年国防授权法众议院审议中分别有17项和9项修正案获得采纳，是基础样本中通过修正案渠道介入涉华议程最为突出的两人。</w:t>
      </w:r>
    </w:p>
    <w:p>
      <w:pPr>
        <w:pStyle w:val="BodyText"/>
      </w:pPr>
      <w:r>
        <w:rPr>
          <w:rFonts w:hint="eastAsia"/>
        </w:rPr>
        <w:t xml:space="preserve">从时间分布看，新生代议员的涉华主提案呈现“开局集中、中段回落、次年春季反弹”的节奏（见表2）。2025年第一季度为高峰，15项法案集中提出，其中2月一个月即有7项；这一时期既是新一届国会重新提交上届未完成法案的惯常窗口，也与特朗普政府以芬太尼为由对华加征关税、中美经贸摩擦迅速升级的外部背景相重合。此后二至三季度回落至每季度7～8项，第四季度降至3项。2025年10月1日至11月12日联邦政府停摆43天，10月30日中美元首釜山会晤达成经贸“休战”安排，两项因素叠加使该季度成为观察期内涉华立法最为低迷的时段，全国会涉华法案数量在10月仅13项，为2025年全年最低。2026年第一季度延续低位（6项），该季度美国对伊朗军事行动（2月28日起）和最高法院关税判决（2月20日）占据国会外交与贸易议程的中心。2026年第二季度出现反弹（10项），全国会涉华法案也回升至80项，仅次于2025年第一季度。这一反弹与5月14日至15日特朗普访华直接相关：在访华前一周，众议院出现多项重申《与台湾关系法》和既有对台政策的决议与法案，史蒂文斯于6月4日同日提出两项涉华法案，沃金肖于6月11日提出支持台湾的决议，安迪·金于6月18日在参议院提出量子技术法案。2026年第三季度回落至5项，第四季度截至10月29日为2项。</w:t>
      </w:r>
    </w:p>
    <w:p>
      <w:pPr>
        <w:pStyle w:val="BodyText"/>
      </w:pPr>
      <w:r>
        <w:rPr>
          <w:rFonts w:hint="eastAsia"/>
        </w:rPr>
        <w:t xml:space="preserve">表2</w:t>
      </w:r>
      <w:r>
        <w:t xml:space="preserve"> </w:t>
      </w:r>
      <w:r>
        <w:rPr>
          <w:rFonts w:hint="eastAsia"/>
        </w:rPr>
        <w:t xml:space="preserve">观察期内基础样本涉华主提案与全国会涉华法案的季度分布（项）</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ind w:firstLine="0"/>
            </w:pPr>
            <w:r>
              <w:rPr>
                <w:rFonts w:hint="eastAsia"/>
                <w:sz w:val="21"/>
              </w:rPr>
              <w:t xml:space="preserve">季度</w:t>
            </w:r>
          </w:p>
        </w:tc>
        <w:tc>
          <w:tcPr/>
          <w:p>
            <w:pPr>
              <w:pStyle w:val="Compact"/>
              <w:spacing w:line="240" w:lineRule="auto"/>
              <w:ind w:firstLine="0"/>
            </w:pPr>
            <w:r>
              <w:rPr>
                <w:rFonts w:hint="eastAsia"/>
                <w:sz w:val="21"/>
              </w:rPr>
              <w:t xml:space="preserve">基础样本主提</w:t>
            </w:r>
          </w:p>
        </w:tc>
        <w:tc>
          <w:tcPr/>
          <w:p>
            <w:pPr>
              <w:pStyle w:val="Compact"/>
              <w:spacing w:line="240" w:lineRule="auto"/>
              <w:ind w:firstLine="0"/>
            </w:pPr>
            <w:r>
              <w:rPr>
                <w:rFonts w:hint="eastAsia"/>
                <w:sz w:val="21"/>
              </w:rPr>
              <w:t xml:space="preserve">全国会合计</w:t>
            </w:r>
          </w:p>
        </w:tc>
        <w:tc>
          <w:tcPr/>
          <w:p>
            <w:pPr>
              <w:pStyle w:val="Compact"/>
              <w:spacing w:line="240" w:lineRule="auto"/>
              <w:ind w:firstLine="0"/>
            </w:pPr>
            <w:r>
              <w:rPr>
                <w:rFonts w:hint="eastAsia"/>
                <w:sz w:val="21"/>
              </w:rPr>
              <w:t xml:space="preserve">基础样本占比</w:t>
            </w:r>
          </w:p>
        </w:tc>
        <w:tc>
          <w:tcPr/>
          <w:p>
            <w:pPr>
              <w:pStyle w:val="Compact"/>
              <w:spacing w:line="240" w:lineRule="auto"/>
              <w:ind w:firstLine="0"/>
            </w:pPr>
            <w:r>
              <w:rPr>
                <w:rFonts w:hint="eastAsia"/>
                <w:sz w:val="21"/>
              </w:rPr>
              <w:t xml:space="preserve">同期重要背景</w:t>
            </w:r>
          </w:p>
        </w:tc>
      </w:tr>
      <w:tr>
        <w:tc>
          <w:tcPr/>
          <w:p>
            <w:pPr>
              <w:pStyle w:val="Compact"/>
              <w:spacing w:line="240" w:lineRule="auto"/>
              <w:ind w:firstLine="0"/>
            </w:pPr>
            <w:r>
              <w:rPr>
                <w:rFonts w:hint="eastAsia"/>
                <w:sz w:val="21"/>
              </w:rPr>
              <w:t xml:space="preserve">2025年第一季度</w:t>
            </w:r>
          </w:p>
        </w:tc>
        <w:tc>
          <w:tcPr/>
          <w:p>
            <w:pPr>
              <w:pStyle w:val="Compact"/>
              <w:spacing w:line="240" w:lineRule="auto"/>
              <w:ind w:firstLine="0"/>
            </w:pPr>
            <w:r>
              <w:rPr>
                <w:sz w:val="21"/>
              </w:rPr>
              <w:t xml:space="preserve">15</w:t>
            </w:r>
          </w:p>
        </w:tc>
        <w:tc>
          <w:tcPr/>
          <w:p>
            <w:pPr>
              <w:pStyle w:val="Compact"/>
              <w:spacing w:line="240" w:lineRule="auto"/>
              <w:ind w:firstLine="0"/>
            </w:pPr>
            <w:r>
              <w:rPr>
                <w:sz w:val="21"/>
              </w:rPr>
              <w:t xml:space="preserve">155</w:t>
            </w:r>
          </w:p>
        </w:tc>
        <w:tc>
          <w:tcPr/>
          <w:p>
            <w:pPr>
              <w:pStyle w:val="Compact"/>
              <w:spacing w:line="240" w:lineRule="auto"/>
              <w:ind w:firstLine="0"/>
            </w:pPr>
            <w:r>
              <w:rPr>
                <w:sz w:val="21"/>
              </w:rPr>
              <w:t xml:space="preserve">9.7%</w:t>
            </w:r>
          </w:p>
        </w:tc>
        <w:tc>
          <w:tcPr/>
          <w:p>
            <w:pPr>
              <w:pStyle w:val="Compact"/>
              <w:spacing w:line="240" w:lineRule="auto"/>
              <w:ind w:firstLine="0"/>
            </w:pPr>
            <w:r>
              <w:rPr>
                <w:rFonts w:hint="eastAsia"/>
                <w:sz w:val="21"/>
              </w:rPr>
              <w:t xml:space="preserve">新国会开幕；对华加征关税升级</w:t>
            </w:r>
          </w:p>
        </w:tc>
      </w:tr>
      <w:tr>
        <w:tc>
          <w:tcPr/>
          <w:p>
            <w:pPr>
              <w:pStyle w:val="Compact"/>
              <w:spacing w:line="240" w:lineRule="auto"/>
              <w:ind w:firstLine="0"/>
            </w:pPr>
            <w:r>
              <w:rPr>
                <w:rFonts w:hint="eastAsia"/>
                <w:sz w:val="21"/>
              </w:rPr>
              <w:t xml:space="preserve">2025年第二季度</w:t>
            </w:r>
          </w:p>
        </w:tc>
        <w:tc>
          <w:tcPr/>
          <w:p>
            <w:pPr>
              <w:pStyle w:val="Compact"/>
              <w:spacing w:line="240" w:lineRule="auto"/>
              <w:ind w:firstLine="0"/>
            </w:pPr>
            <w:r>
              <w:rPr>
                <w:sz w:val="21"/>
              </w:rPr>
              <w:t xml:space="preserve">7</w:t>
            </w:r>
          </w:p>
        </w:tc>
        <w:tc>
          <w:tcPr/>
          <w:p>
            <w:pPr>
              <w:pStyle w:val="Compact"/>
              <w:spacing w:line="240" w:lineRule="auto"/>
              <w:ind w:firstLine="0"/>
            </w:pPr>
            <w:r>
              <w:rPr>
                <w:sz w:val="21"/>
              </w:rPr>
              <w:t xml:space="preserve">77</w:t>
            </w:r>
          </w:p>
        </w:tc>
        <w:tc>
          <w:tcPr/>
          <w:p>
            <w:pPr>
              <w:pStyle w:val="Compact"/>
              <w:spacing w:line="240" w:lineRule="auto"/>
              <w:ind w:firstLine="0"/>
            </w:pPr>
            <w:r>
              <w:rPr>
                <w:sz w:val="21"/>
              </w:rPr>
              <w:t xml:space="preserve">9.1%</w:t>
            </w:r>
          </w:p>
        </w:tc>
        <w:tc>
          <w:tcPr/>
          <w:p>
            <w:pPr>
              <w:pStyle w:val="Compact"/>
              <w:spacing w:line="240" w:lineRule="auto"/>
              <w:ind w:firstLine="0"/>
            </w:pPr>
            <w:r>
              <w:rPr>
                <w:rFonts w:hint="eastAsia"/>
                <w:sz w:val="21"/>
              </w:rPr>
              <w:t xml:space="preserve">日内瓦、伦敦经贸磋商</w:t>
            </w:r>
          </w:p>
        </w:tc>
      </w:tr>
      <w:tr>
        <w:tc>
          <w:tcPr/>
          <w:p>
            <w:pPr>
              <w:pStyle w:val="Compact"/>
              <w:spacing w:line="240" w:lineRule="auto"/>
              <w:ind w:firstLine="0"/>
            </w:pPr>
            <w:r>
              <w:rPr>
                <w:rFonts w:hint="eastAsia"/>
                <w:sz w:val="21"/>
              </w:rPr>
              <w:t xml:space="preserve">2025年第三季度</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60</w:t>
            </w:r>
          </w:p>
        </w:tc>
        <w:tc>
          <w:tcPr/>
          <w:p>
            <w:pPr>
              <w:pStyle w:val="Compact"/>
              <w:spacing w:line="240" w:lineRule="auto"/>
              <w:ind w:firstLine="0"/>
            </w:pPr>
            <w:r>
              <w:rPr>
                <w:sz w:val="21"/>
              </w:rPr>
              <w:t xml:space="preserve">13.3%</w:t>
            </w:r>
          </w:p>
        </w:tc>
        <w:tc>
          <w:tcPr/>
          <w:p>
            <w:pPr>
              <w:pStyle w:val="Compact"/>
              <w:spacing w:line="240" w:lineRule="auto"/>
              <w:ind w:firstLine="0"/>
            </w:pPr>
            <w:r>
              <w:rPr>
                <w:rFonts w:hint="eastAsia"/>
                <w:sz w:val="21"/>
              </w:rPr>
              <w:t xml:space="preserve">国防授权法众议院审议</w:t>
            </w:r>
          </w:p>
        </w:tc>
      </w:tr>
      <w:tr>
        <w:tc>
          <w:tcPr/>
          <w:p>
            <w:pPr>
              <w:pStyle w:val="Compact"/>
              <w:spacing w:line="240" w:lineRule="auto"/>
              <w:ind w:firstLine="0"/>
            </w:pPr>
            <w:r>
              <w:rPr>
                <w:rFonts w:hint="eastAsia"/>
                <w:sz w:val="21"/>
              </w:rPr>
              <w:t xml:space="preserve">2025年第四季度</w:t>
            </w:r>
          </w:p>
        </w:tc>
        <w:tc>
          <w:tcPr/>
          <w:p>
            <w:pPr>
              <w:pStyle w:val="Compact"/>
              <w:spacing w:line="240" w:lineRule="auto"/>
              <w:ind w:firstLine="0"/>
            </w:pPr>
            <w:r>
              <w:rPr>
                <w:sz w:val="21"/>
              </w:rPr>
              <w:t xml:space="preserve">3</w:t>
            </w:r>
          </w:p>
        </w:tc>
        <w:tc>
          <w:tcPr/>
          <w:p>
            <w:pPr>
              <w:pStyle w:val="Compact"/>
              <w:spacing w:line="240" w:lineRule="auto"/>
              <w:ind w:firstLine="0"/>
            </w:pPr>
            <w:r>
              <w:rPr>
                <w:sz w:val="21"/>
              </w:rPr>
              <w:t xml:space="preserve">62</w:t>
            </w:r>
          </w:p>
        </w:tc>
        <w:tc>
          <w:tcPr/>
          <w:p>
            <w:pPr>
              <w:pStyle w:val="Compact"/>
              <w:spacing w:line="240" w:lineRule="auto"/>
              <w:ind w:firstLine="0"/>
            </w:pPr>
            <w:r>
              <w:rPr>
                <w:sz w:val="21"/>
              </w:rPr>
              <w:t xml:space="preserve">4.8%</w:t>
            </w:r>
          </w:p>
        </w:tc>
        <w:tc>
          <w:tcPr/>
          <w:p>
            <w:pPr>
              <w:pStyle w:val="Compact"/>
              <w:spacing w:line="240" w:lineRule="auto"/>
              <w:ind w:firstLine="0"/>
            </w:pPr>
            <w:r>
              <w:rPr>
                <w:rFonts w:hint="eastAsia"/>
                <w:sz w:val="21"/>
              </w:rPr>
              <w:t xml:space="preserve">政府停摆；釜山会晤；国防授权法签署</w:t>
            </w:r>
          </w:p>
        </w:tc>
      </w:tr>
      <w:tr>
        <w:tc>
          <w:tcPr/>
          <w:p>
            <w:pPr>
              <w:pStyle w:val="Compact"/>
              <w:spacing w:line="240" w:lineRule="auto"/>
              <w:ind w:firstLine="0"/>
            </w:pPr>
            <w:r>
              <w:rPr>
                <w:rFonts w:hint="eastAsia"/>
                <w:sz w:val="21"/>
              </w:rPr>
              <w:t xml:space="preserve">2026年第一季度</w:t>
            </w:r>
          </w:p>
        </w:tc>
        <w:tc>
          <w:tcPr/>
          <w:p>
            <w:pPr>
              <w:pStyle w:val="Compact"/>
              <w:spacing w:line="240" w:lineRule="auto"/>
              <w:ind w:firstLine="0"/>
            </w:pPr>
            <w:r>
              <w:rPr>
                <w:sz w:val="21"/>
              </w:rPr>
              <w:t xml:space="preserve">6</w:t>
            </w:r>
          </w:p>
        </w:tc>
        <w:tc>
          <w:tcPr/>
          <w:p>
            <w:pPr>
              <w:pStyle w:val="Compact"/>
              <w:spacing w:line="240" w:lineRule="auto"/>
              <w:ind w:firstLine="0"/>
            </w:pPr>
            <w:r>
              <w:rPr>
                <w:sz w:val="21"/>
              </w:rPr>
              <w:t xml:space="preserve">42</w:t>
            </w:r>
          </w:p>
        </w:tc>
        <w:tc>
          <w:tcPr/>
          <w:p>
            <w:pPr>
              <w:pStyle w:val="Compact"/>
              <w:spacing w:line="240" w:lineRule="auto"/>
              <w:ind w:firstLine="0"/>
            </w:pPr>
            <w:r>
              <w:rPr>
                <w:sz w:val="21"/>
              </w:rPr>
              <w:t xml:space="preserve">14.3%</w:t>
            </w:r>
          </w:p>
        </w:tc>
        <w:tc>
          <w:tcPr/>
          <w:p>
            <w:pPr>
              <w:pStyle w:val="Compact"/>
              <w:spacing w:line="240" w:lineRule="auto"/>
              <w:ind w:firstLine="0"/>
            </w:pPr>
            <w:r>
              <w:rPr>
                <w:rFonts w:hint="eastAsia"/>
                <w:sz w:val="21"/>
              </w:rPr>
              <w:t xml:space="preserve">关税判决；对伊朗军事行动</w:t>
            </w:r>
          </w:p>
        </w:tc>
      </w:tr>
      <w:tr>
        <w:tc>
          <w:tcPr/>
          <w:p>
            <w:pPr>
              <w:pStyle w:val="Compact"/>
              <w:spacing w:line="240" w:lineRule="auto"/>
              <w:ind w:firstLine="0"/>
            </w:pPr>
            <w:r>
              <w:rPr>
                <w:rFonts w:hint="eastAsia"/>
                <w:sz w:val="21"/>
              </w:rPr>
              <w:t xml:space="preserve">2026年第二季度</w:t>
            </w:r>
          </w:p>
        </w:tc>
        <w:tc>
          <w:tcPr/>
          <w:p>
            <w:pPr>
              <w:pStyle w:val="Compact"/>
              <w:spacing w:line="240" w:lineRule="auto"/>
              <w:ind w:firstLine="0"/>
            </w:pPr>
            <w:r>
              <w:rPr>
                <w:sz w:val="21"/>
              </w:rPr>
              <w:t xml:space="preserve">10</w:t>
            </w:r>
          </w:p>
        </w:tc>
        <w:tc>
          <w:tcPr/>
          <w:p>
            <w:pPr>
              <w:pStyle w:val="Compact"/>
              <w:spacing w:line="240" w:lineRule="auto"/>
              <w:ind w:firstLine="0"/>
            </w:pPr>
            <w:r>
              <w:rPr>
                <w:sz w:val="21"/>
              </w:rPr>
              <w:t xml:space="preserve">80</w:t>
            </w:r>
          </w:p>
        </w:tc>
        <w:tc>
          <w:tcPr/>
          <w:p>
            <w:pPr>
              <w:pStyle w:val="Compact"/>
              <w:spacing w:line="240" w:lineRule="auto"/>
              <w:ind w:firstLine="0"/>
            </w:pPr>
            <w:r>
              <w:rPr>
                <w:sz w:val="21"/>
              </w:rPr>
              <w:t xml:space="preserve">12.5%</w:t>
            </w:r>
          </w:p>
        </w:tc>
        <w:tc>
          <w:tcPr/>
          <w:p>
            <w:pPr>
              <w:pStyle w:val="Compact"/>
              <w:spacing w:line="240" w:lineRule="auto"/>
              <w:ind w:firstLine="0"/>
            </w:pPr>
            <w:r>
              <w:rPr>
                <w:rFonts w:hint="eastAsia"/>
                <w:sz w:val="21"/>
              </w:rPr>
              <w:t xml:space="preserve">特朗普访华；对台军售“搁置”争议</w:t>
            </w:r>
          </w:p>
        </w:tc>
      </w:tr>
      <w:tr>
        <w:tc>
          <w:tcPr/>
          <w:p>
            <w:pPr>
              <w:pStyle w:val="Compact"/>
              <w:spacing w:line="240" w:lineRule="auto"/>
              <w:ind w:firstLine="0"/>
            </w:pPr>
            <w:r>
              <w:rPr>
                <w:rFonts w:hint="eastAsia"/>
                <w:sz w:val="21"/>
              </w:rPr>
              <w:t xml:space="preserve">2026年第三季度</w:t>
            </w:r>
          </w:p>
        </w:tc>
        <w:tc>
          <w:tcPr/>
          <w:p>
            <w:pPr>
              <w:pStyle w:val="Compact"/>
              <w:spacing w:line="240" w:lineRule="auto"/>
              <w:ind w:firstLine="0"/>
            </w:pPr>
            <w:r>
              <w:rPr>
                <w:sz w:val="21"/>
              </w:rPr>
              <w:t xml:space="preserve">5</w:t>
            </w:r>
          </w:p>
        </w:tc>
        <w:tc>
          <w:tcPr/>
          <w:p>
            <w:pPr>
              <w:pStyle w:val="Compact"/>
              <w:spacing w:line="240" w:lineRule="auto"/>
              <w:ind w:firstLine="0"/>
            </w:pPr>
            <w:r>
              <w:rPr>
                <w:sz w:val="21"/>
              </w:rPr>
              <w:t xml:space="preserve">43</w:t>
            </w:r>
          </w:p>
        </w:tc>
        <w:tc>
          <w:tcPr/>
          <w:p>
            <w:pPr>
              <w:pStyle w:val="Compact"/>
              <w:spacing w:line="240" w:lineRule="auto"/>
              <w:ind w:firstLine="0"/>
            </w:pPr>
            <w:r>
              <w:rPr>
                <w:sz w:val="21"/>
              </w:rPr>
              <w:t xml:space="preserve">11.6%</w:t>
            </w:r>
          </w:p>
        </w:tc>
        <w:tc>
          <w:tcPr/>
          <w:p>
            <w:pPr>
              <w:pStyle w:val="Compact"/>
              <w:spacing w:line="240" w:lineRule="auto"/>
              <w:ind w:firstLine="0"/>
            </w:pPr>
            <w:r>
              <w:rPr>
                <w:rFonts w:hint="eastAsia"/>
                <w:sz w:val="21"/>
              </w:rPr>
              <w:t xml:space="preserve">习近平主席访美</w:t>
            </w:r>
          </w:p>
        </w:tc>
      </w:tr>
      <w:tr>
        <w:tc>
          <w:tcPr/>
          <w:p>
            <w:pPr>
              <w:pStyle w:val="Compact"/>
              <w:spacing w:line="240" w:lineRule="auto"/>
              <w:ind w:firstLine="0"/>
            </w:pPr>
            <w:r>
              <w:rPr>
                <w:rFonts w:hint="eastAsia"/>
                <w:sz w:val="21"/>
              </w:rPr>
              <w:t xml:space="preserve">2026年第四季度（至10月29日）</w:t>
            </w:r>
          </w:p>
        </w:tc>
        <w:tc>
          <w:tcPr/>
          <w:p>
            <w:pPr>
              <w:pStyle w:val="Compact"/>
              <w:spacing w:line="240" w:lineRule="auto"/>
              <w:ind w:firstLine="0"/>
            </w:pPr>
            <w:r>
              <w:rPr>
                <w:sz w:val="21"/>
              </w:rPr>
              <w:t xml:space="preserve">2</w:t>
            </w:r>
          </w:p>
        </w:tc>
        <w:tc>
          <w:tcPr/>
          <w:p>
            <w:pPr>
              <w:pStyle w:val="Compact"/>
              <w:spacing w:line="240" w:lineRule="auto"/>
              <w:ind w:firstLine="0"/>
            </w:pPr>
            <w:r>
              <w:rPr>
                <w:sz w:val="21"/>
              </w:rPr>
              <w:t xml:space="preserve">9</w:t>
            </w:r>
          </w:p>
        </w:tc>
        <w:tc>
          <w:tcPr/>
          <w:p>
            <w:pPr>
              <w:pStyle w:val="Compact"/>
              <w:spacing w:line="240" w:lineRule="auto"/>
              <w:ind w:firstLine="0"/>
            </w:pPr>
            <w:r>
              <w:rPr>
                <w:sz w:val="21"/>
              </w:rPr>
              <w:t xml:space="preserve">—</w:t>
            </w:r>
          </w:p>
        </w:tc>
        <w:tc>
          <w:tcPr/>
          <w:p>
            <w:pPr>
              <w:pStyle w:val="Compact"/>
              <w:spacing w:line="240" w:lineRule="auto"/>
              <w:ind w:firstLine="0"/>
            </w:pPr>
            <w:r>
              <w:rPr>
                <w:rFonts w:hint="eastAsia"/>
                <w:sz w:val="21"/>
              </w:rPr>
              <w:t xml:space="preserve">中期选举临近</w:t>
            </w:r>
          </w:p>
        </w:tc>
      </w:tr>
      <w:tr>
        <w:tc>
          <w:tcPr/>
          <w:p>
            <w:pPr>
              <w:pStyle w:val="Compact"/>
              <w:spacing w:line="240" w:lineRule="auto"/>
              <w:ind w:firstLine="0"/>
            </w:pPr>
            <w:r>
              <w:rPr>
                <w:rFonts w:hint="eastAsia"/>
                <w:sz w:val="21"/>
              </w:rPr>
              <w:t xml:space="preserve">合计</w:t>
            </w:r>
          </w:p>
        </w:tc>
        <w:tc>
          <w:tcPr/>
          <w:p>
            <w:pPr>
              <w:pStyle w:val="Compact"/>
              <w:spacing w:line="240" w:lineRule="auto"/>
              <w:ind w:firstLine="0"/>
            </w:pPr>
            <w:r>
              <w:rPr>
                <w:sz w:val="21"/>
              </w:rPr>
              <w:t xml:space="preserve">56</w:t>
            </w:r>
          </w:p>
        </w:tc>
        <w:tc>
          <w:tcPr/>
          <w:p>
            <w:pPr>
              <w:pStyle w:val="Compact"/>
              <w:spacing w:line="240" w:lineRule="auto"/>
              <w:ind w:firstLine="0"/>
            </w:pPr>
            <w:r>
              <w:rPr>
                <w:sz w:val="21"/>
              </w:rPr>
              <w:t xml:space="preserve">528</w:t>
            </w:r>
          </w:p>
        </w:tc>
        <w:tc>
          <w:tcPr/>
          <w:p>
            <w:pPr>
              <w:pStyle w:val="Compact"/>
              <w:spacing w:line="240" w:lineRule="auto"/>
              <w:ind w:firstLine="0"/>
            </w:pPr>
            <w:r>
              <w:rPr>
                <w:sz w:val="21"/>
              </w:rPr>
              <w:t xml:space="preserve">10.6%</w:t>
            </w:r>
          </w:p>
        </w:tc>
        <w:tc>
          <w:tcPr/>
          <w:p>
            <w:pPr>
              <w:pStyle w:val="Compact"/>
              <w:spacing w:line="240" w:lineRule="auto"/>
              <w:ind w:firstLine="0"/>
            </w:pPr>
          </w:p>
        </w:tc>
      </w:tr>
    </w:tbl>
    <w:p>
      <w:pPr>
        <w:pStyle w:val="BodyText"/>
      </w:pPr>
      <w:r>
        <w:rPr>
          <w:rFonts w:hint="eastAsia"/>
        </w:rPr>
        <w:t xml:space="preserve">资料来源：笔者根据Congress.gov与GovInfo第119届国会法案数据整理。</w:t>
      </w:r>
    </w:p>
    <w:p>
      <w:pPr>
        <w:pStyle w:val="BodyText"/>
      </w:pPr>
      <w:r>
        <w:rPr>
          <w:rFonts w:hint="eastAsia"/>
        </w:rPr>
        <w:t xml:space="preserve">上述节奏显示，新生代议员的涉华主提案在很大程度上随国会整体议程起伏，而非独立于整体节奏之外的持续投入。但在个体层面，短期集中发声与长期持续投入的区别仍然明显。霍利的3项涉华法案全部集中于2025年1月至7月，此后未再主提涉华法案；欣森的3项法案中2项集中于2025年3月，第三项迟至2026年5月才提出；米尔斯的4项法案分布于2025年2月、9月和2026年1月，但其联署仅1项，缺乏持续的议题网络。相反，劳勒的4项法案分布于2025年6月至2026年7月，期间联署53项，几乎每月都有涉华行动记录；哈里根的4项法案分布于2025年12月至2026年10月，加上军事委员会修正案和18项联署，构成贯穿整个观察期的持续投入；苏布拉曼尼亚姆的3项法案分别提出于2025年3月、2026年2月和2026年5月，议题高度一致。</w:t>
      </w:r>
    </w:p>
    <w:p>
      <w:pPr>
        <w:pStyle w:val="BodyText"/>
      </w:pPr>
      <w:r>
        <w:rPr>
          <w:rFonts w:hint="eastAsia"/>
        </w:rPr>
        <w:t xml:space="preserve">在立法进展方面，56项法案中47项（83.9%）停留在提交委员会阶段未获推进，7项获委员会通过，2项获众议院通过，无一项独立成法。作为参照，全国会528项涉华法案中，400项未获推进，4项处于委员会审议中，76项获委员会通过，47项获一院通过，1项成为法律，即2025年12月2日签署的《台湾保证实施法》（第119-45号公法），其主提人是资深议员安·瓦格纳（Ann</w:t>
      </w:r>
      <w:r>
        <w:t xml:space="preserve"> </w:t>
      </w:r>
      <w:r>
        <w:rPr>
          <w:rFonts w:hint="eastAsia"/>
        </w:rPr>
        <w:t xml:space="preserve">Wagner）。</w:t>
      </w:r>
      <w:r>
        <w:rPr>
          <w:rStyle w:val="FootnoteReference"/>
        </w:rPr>
        <w:footnoteReference w:id="30"/>
      </w:r>
      <w:r>
        <w:rPr>
          <w:rFonts w:hint="eastAsia"/>
        </w:rPr>
        <w:t xml:space="preserve">以“进入委员会审议及以上”为标准，新生代议员涉华法案的推进率为16.1%，低于全国会涉华法案24.2%的水平。这与第二部分所揭示的制度位置有限直接相关。</w:t>
      </w:r>
    </w:p>
    <w:bookmarkEnd w:id="31"/>
    <w:bookmarkStart w:id="32" w:name="二议题分布与关注重点"/>
    <w:p>
      <w:pPr>
        <w:pStyle w:val="Heading2"/>
      </w:pPr>
      <w:r>
        <w:rPr>
          <w:rFonts w:hint="eastAsia"/>
        </w:rPr>
        <w:t xml:space="preserve">（二）议题分布与关注重点</w:t>
      </w:r>
    </w:p>
    <w:p>
      <w:pPr>
        <w:pStyle w:val="FirstParagraph"/>
      </w:pPr>
      <w:r>
        <w:rPr>
          <w:rFonts w:hint="eastAsia"/>
        </w:rPr>
        <w:t xml:space="preserve">对56项主提案按九类议题进行多标签编码，共得到83个议题标签（见表3）。出口管制、投资审查与供应链安全（16项）、科技竞争（13项）和影响力渗透与公共安全（11项）是三个最高频的议题，三者合计占全部标签的48%；经贸关税（9项）、军事安全与印太（8项）、台湾（8项）、农业能源矿产土地（8项）居中；人权港疆藏（6项）和教育科研人才（4项）最少。</w:t>
      </w:r>
    </w:p>
    <w:p>
      <w:pPr>
        <w:pStyle w:val="BodyText"/>
      </w:pPr>
      <w:r>
        <w:rPr>
          <w:rFonts w:hint="eastAsia"/>
        </w:rPr>
        <w:t xml:space="preserve">表3</w:t>
      </w:r>
      <w:r>
        <w:t xml:space="preserve"> </w:t>
      </w:r>
      <w:r>
        <w:rPr>
          <w:rFonts w:hint="eastAsia"/>
        </w:rPr>
        <w:t xml:space="preserve">基础样本涉华主提案的议题分布（多标签，项）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ind w:firstLine="0"/>
            </w:pPr>
            <w:r>
              <w:rPr>
                <w:rFonts w:hint="eastAsia"/>
                <w:sz w:val="21"/>
              </w:rPr>
              <w:t xml:space="preserve">议题类别</w:t>
            </w:r>
          </w:p>
        </w:tc>
        <w:tc>
          <w:tcPr/>
          <w:p>
            <w:pPr>
              <w:pStyle w:val="Compact"/>
              <w:spacing w:line="240" w:lineRule="auto"/>
              <w:ind w:firstLine="0"/>
            </w:pPr>
            <w:r>
              <w:rPr>
                <w:rFonts w:hint="eastAsia"/>
                <w:sz w:val="21"/>
              </w:rPr>
              <w:t xml:space="preserve">合计</w:t>
            </w:r>
          </w:p>
        </w:tc>
        <w:tc>
          <w:tcPr/>
          <w:p>
            <w:pPr>
              <w:pStyle w:val="Compact"/>
              <w:spacing w:line="240" w:lineRule="auto"/>
              <w:ind w:firstLine="0"/>
            </w:pPr>
            <w:r>
              <w:rPr>
                <w:rFonts w:hint="eastAsia"/>
                <w:sz w:val="21"/>
              </w:rPr>
              <w:t xml:space="preserve">共和党主提</w:t>
            </w:r>
          </w:p>
        </w:tc>
        <w:tc>
          <w:tcPr/>
          <w:p>
            <w:pPr>
              <w:pStyle w:val="Compact"/>
              <w:spacing w:line="240" w:lineRule="auto"/>
              <w:ind w:firstLine="0"/>
            </w:pPr>
            <w:r>
              <w:rPr>
                <w:rFonts w:hint="eastAsia"/>
                <w:sz w:val="21"/>
              </w:rPr>
              <w:t xml:space="preserve">民主党主提</w:t>
            </w:r>
          </w:p>
        </w:tc>
        <w:tc>
          <w:tcPr/>
          <w:p>
            <w:pPr>
              <w:pStyle w:val="Compact"/>
              <w:spacing w:line="240" w:lineRule="auto"/>
              <w:ind w:firstLine="0"/>
            </w:pPr>
            <w:r>
              <w:rPr>
                <w:rFonts w:hint="eastAsia"/>
                <w:sz w:val="21"/>
              </w:rPr>
              <w:t xml:space="preserve">代表性法案</w:t>
            </w:r>
          </w:p>
        </w:tc>
      </w:tr>
      <w:tr>
        <w:tc>
          <w:tcPr/>
          <w:p>
            <w:pPr>
              <w:pStyle w:val="Compact"/>
              <w:spacing w:line="240" w:lineRule="auto"/>
              <w:ind w:firstLine="0"/>
            </w:pPr>
            <w:r>
              <w:rPr>
                <w:rFonts w:hint="eastAsia"/>
                <w:sz w:val="21"/>
              </w:rPr>
              <w:t xml:space="preserve">出口管制、投资审查与供应链</w:t>
            </w:r>
          </w:p>
        </w:tc>
        <w:tc>
          <w:tcPr/>
          <w:p>
            <w:pPr>
              <w:pStyle w:val="Compact"/>
              <w:spacing w:line="240" w:lineRule="auto"/>
              <w:ind w:firstLine="0"/>
            </w:pPr>
            <w:r>
              <w:rPr>
                <w:sz w:val="21"/>
              </w:rPr>
              <w:t xml:space="preserve">16</w:t>
            </w:r>
          </w:p>
        </w:tc>
        <w:tc>
          <w:tcPr/>
          <w:p>
            <w:pPr>
              <w:pStyle w:val="Compact"/>
              <w:spacing w:line="240" w:lineRule="auto"/>
              <w:ind w:firstLine="0"/>
            </w:pPr>
            <w:r>
              <w:rPr>
                <w:sz w:val="21"/>
              </w:rPr>
              <w:t xml:space="preserve">11</w:t>
            </w:r>
          </w:p>
        </w:tc>
        <w:tc>
          <w:tcPr/>
          <w:p>
            <w:pPr>
              <w:pStyle w:val="Compact"/>
              <w:spacing w:line="240" w:lineRule="auto"/>
              <w:ind w:firstLine="0"/>
            </w:pPr>
            <w:r>
              <w:rPr>
                <w:sz w:val="21"/>
              </w:rPr>
              <w:t xml:space="preserve">5</w:t>
            </w:r>
          </w:p>
        </w:tc>
        <w:tc>
          <w:tcPr/>
          <w:p>
            <w:pPr>
              <w:pStyle w:val="Compact"/>
              <w:spacing w:line="240" w:lineRule="auto"/>
              <w:ind w:firstLine="0"/>
            </w:pPr>
            <w:r>
              <w:rPr>
                <w:rFonts w:hint="eastAsia"/>
                <w:sz w:val="21"/>
              </w:rPr>
              <w:t xml:space="preserve">《对手法》（米勒）；《中国经纪商与投资顾问暂停法》（劳勒）</w:t>
            </w:r>
          </w:p>
        </w:tc>
      </w:tr>
      <w:tr>
        <w:tc>
          <w:tcPr/>
          <w:p>
            <w:pPr>
              <w:pStyle w:val="Compact"/>
              <w:spacing w:line="240" w:lineRule="auto"/>
              <w:ind w:firstLine="0"/>
            </w:pPr>
            <w:r>
              <w:rPr>
                <w:rFonts w:hint="eastAsia"/>
                <w:sz w:val="21"/>
              </w:rPr>
              <w:t xml:space="preserve">科技竞争、人工智能与数据</w:t>
            </w:r>
          </w:p>
        </w:tc>
        <w:tc>
          <w:tcPr/>
          <w:p>
            <w:pPr>
              <w:pStyle w:val="Compact"/>
              <w:spacing w:line="240" w:lineRule="auto"/>
              <w:ind w:firstLine="0"/>
            </w:pPr>
            <w:r>
              <w:rPr>
                <w:sz w:val="21"/>
              </w:rPr>
              <w:t xml:space="preserve">13</w:t>
            </w:r>
          </w:p>
        </w:tc>
        <w:tc>
          <w:tcPr/>
          <w:p>
            <w:pPr>
              <w:pStyle w:val="Compact"/>
              <w:spacing w:line="240" w:lineRule="auto"/>
              <w:ind w:firstLine="0"/>
            </w:pPr>
            <w:r>
              <w:rPr>
                <w:sz w:val="21"/>
              </w:rPr>
              <w:t xml:space="preserve">9</w:t>
            </w:r>
          </w:p>
        </w:tc>
        <w:tc>
          <w:tcPr/>
          <w:p>
            <w:pPr>
              <w:pStyle w:val="Compact"/>
              <w:spacing w:line="240" w:lineRule="auto"/>
              <w:ind w:firstLine="0"/>
            </w:pPr>
            <w:r>
              <w:rPr>
                <w:sz w:val="21"/>
              </w:rPr>
              <w:t xml:space="preserve">4</w:t>
            </w:r>
          </w:p>
        </w:tc>
        <w:tc>
          <w:tcPr/>
          <w:p>
            <w:pPr>
              <w:pStyle w:val="Compact"/>
              <w:spacing w:line="240" w:lineRule="auto"/>
              <w:ind w:firstLine="0"/>
            </w:pPr>
            <w:r>
              <w:rPr>
                <w:rFonts w:hint="eastAsia"/>
                <w:sz w:val="21"/>
              </w:rPr>
              <w:t xml:space="preserve">《美国人工智能能力与中国脱钩法》（霍利）；《推进美国量子领导力法》（劳勒、安迪·金）</w:t>
            </w:r>
          </w:p>
        </w:tc>
      </w:tr>
      <w:tr>
        <w:tc>
          <w:tcPr/>
          <w:p>
            <w:pPr>
              <w:pStyle w:val="Compact"/>
              <w:spacing w:line="240" w:lineRule="auto"/>
              <w:ind w:firstLine="0"/>
            </w:pPr>
            <w:r>
              <w:rPr>
                <w:rFonts w:hint="eastAsia"/>
                <w:sz w:val="21"/>
              </w:rPr>
              <w:t xml:space="preserve">影响力渗透与公共安全</w:t>
            </w:r>
          </w:p>
        </w:tc>
        <w:tc>
          <w:tcPr/>
          <w:p>
            <w:pPr>
              <w:pStyle w:val="Compact"/>
              <w:spacing w:line="240" w:lineRule="auto"/>
              <w:ind w:firstLine="0"/>
            </w:pPr>
            <w:r>
              <w:rPr>
                <w:sz w:val="21"/>
              </w:rPr>
              <w:t xml:space="preserve">11</w:t>
            </w:r>
          </w:p>
        </w:tc>
        <w:tc>
          <w:tcPr/>
          <w:p>
            <w:pPr>
              <w:pStyle w:val="Compact"/>
              <w:spacing w:line="240" w:lineRule="auto"/>
              <w:ind w:firstLine="0"/>
            </w:pPr>
            <w:r>
              <w:rPr>
                <w:sz w:val="21"/>
              </w:rPr>
              <w:t xml:space="preserve">9</w:t>
            </w:r>
          </w:p>
        </w:tc>
        <w:tc>
          <w:tcPr/>
          <w:p>
            <w:pPr>
              <w:pStyle w:val="Compact"/>
              <w:spacing w:line="240" w:lineRule="auto"/>
              <w:ind w:firstLine="0"/>
            </w:pPr>
            <w:r>
              <w:rPr>
                <w:sz w:val="21"/>
              </w:rPr>
              <w:t xml:space="preserve">2</w:t>
            </w:r>
          </w:p>
        </w:tc>
        <w:tc>
          <w:tcPr/>
          <w:p>
            <w:pPr>
              <w:pStyle w:val="Compact"/>
              <w:spacing w:line="240" w:lineRule="auto"/>
              <w:ind w:firstLine="0"/>
            </w:pPr>
            <w:r>
              <w:rPr>
                <w:rFonts w:hint="eastAsia"/>
                <w:sz w:val="21"/>
              </w:rPr>
              <w:t xml:space="preserve">《保护美国创新与经济安全免受中共侵害法》（古登）；《打击中共影响力法》（陈）</w:t>
            </w:r>
          </w:p>
        </w:tc>
      </w:tr>
      <w:tr>
        <w:tc>
          <w:tcPr/>
          <w:p>
            <w:pPr>
              <w:pStyle w:val="Compact"/>
              <w:spacing w:line="240" w:lineRule="auto"/>
              <w:ind w:firstLine="0"/>
            </w:pPr>
            <w:r>
              <w:rPr>
                <w:rFonts w:hint="eastAsia"/>
                <w:sz w:val="21"/>
              </w:rPr>
              <w:t xml:space="preserve">贸易、关税与市场准入</w:t>
            </w:r>
          </w:p>
        </w:tc>
        <w:tc>
          <w:tcPr/>
          <w:p>
            <w:pPr>
              <w:pStyle w:val="Compact"/>
              <w:spacing w:line="240" w:lineRule="auto"/>
              <w:ind w:firstLine="0"/>
            </w:pPr>
            <w:r>
              <w:rPr>
                <w:sz w:val="21"/>
              </w:rPr>
              <w:t xml:space="preserve">9</w:t>
            </w:r>
          </w:p>
        </w:tc>
        <w:tc>
          <w:tcPr/>
          <w:p>
            <w:pPr>
              <w:pStyle w:val="Compact"/>
              <w:spacing w:line="240" w:lineRule="auto"/>
              <w:ind w:firstLine="0"/>
            </w:pPr>
            <w:r>
              <w:rPr>
                <w:sz w:val="21"/>
              </w:rPr>
              <w:t xml:space="preserve">5</w:t>
            </w:r>
          </w:p>
        </w:tc>
        <w:tc>
          <w:tcPr/>
          <w:p>
            <w:pPr>
              <w:pStyle w:val="Compact"/>
              <w:spacing w:line="240" w:lineRule="auto"/>
              <w:ind w:firstLine="0"/>
            </w:pPr>
            <w:r>
              <w:rPr>
                <w:sz w:val="21"/>
              </w:rPr>
              <w:t xml:space="preserve">4</w:t>
            </w:r>
          </w:p>
        </w:tc>
        <w:tc>
          <w:tcPr/>
          <w:p>
            <w:pPr>
              <w:pStyle w:val="Compact"/>
              <w:spacing w:line="240" w:lineRule="auto"/>
              <w:ind w:firstLine="0"/>
            </w:pPr>
            <w:r>
              <w:rPr>
                <w:rFonts w:hint="eastAsia"/>
                <w:sz w:val="21"/>
              </w:rPr>
              <w:t xml:space="preserve">《禁止中国汽车法》（史蒂文斯）；《安全贸易法》（戈尔登）</w:t>
            </w:r>
          </w:p>
        </w:tc>
      </w:tr>
      <w:tr>
        <w:tc>
          <w:tcPr/>
          <w:p>
            <w:pPr>
              <w:pStyle w:val="Compact"/>
              <w:spacing w:line="240" w:lineRule="auto"/>
              <w:ind w:firstLine="0"/>
            </w:pPr>
            <w:r>
              <w:rPr>
                <w:rFonts w:hint="eastAsia"/>
                <w:sz w:val="21"/>
              </w:rPr>
              <w:t xml:space="preserve">军事安全与印太战略</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6</w:t>
            </w:r>
          </w:p>
        </w:tc>
        <w:tc>
          <w:tcPr/>
          <w:p>
            <w:pPr>
              <w:pStyle w:val="Compact"/>
              <w:spacing w:line="240" w:lineRule="auto"/>
              <w:ind w:firstLine="0"/>
            </w:pPr>
            <w:r>
              <w:rPr>
                <w:sz w:val="21"/>
              </w:rPr>
              <w:t xml:space="preserve">2</w:t>
            </w:r>
          </w:p>
        </w:tc>
        <w:tc>
          <w:tcPr/>
          <w:p>
            <w:pPr>
              <w:pStyle w:val="Compact"/>
              <w:spacing w:line="240" w:lineRule="auto"/>
              <w:ind w:firstLine="0"/>
            </w:pPr>
            <w:r>
              <w:rPr>
                <w:rFonts w:hint="eastAsia"/>
                <w:sz w:val="21"/>
              </w:rPr>
              <w:t xml:space="preserve">《印太条约组织法》（劳勒）；《中国间谍气球评估法》（弗赖）</w:t>
            </w:r>
          </w:p>
        </w:tc>
      </w:tr>
      <w:tr>
        <w:tc>
          <w:tcPr/>
          <w:p>
            <w:pPr>
              <w:pStyle w:val="Compact"/>
              <w:spacing w:line="240" w:lineRule="auto"/>
              <w:ind w:firstLine="0"/>
            </w:pPr>
            <w:r>
              <w:rPr>
                <w:rFonts w:hint="eastAsia"/>
                <w:sz w:val="21"/>
              </w:rPr>
              <w:t xml:space="preserve">台湾及相关安全议题</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7</w:t>
            </w:r>
          </w:p>
        </w:tc>
        <w:tc>
          <w:tcPr/>
          <w:p>
            <w:pPr>
              <w:pStyle w:val="Compact"/>
              <w:spacing w:line="240" w:lineRule="auto"/>
              <w:ind w:firstLine="0"/>
            </w:pPr>
            <w:r>
              <w:rPr>
                <w:sz w:val="21"/>
              </w:rPr>
              <w:t xml:space="preserve">1</w:t>
            </w:r>
          </w:p>
        </w:tc>
        <w:tc>
          <w:tcPr/>
          <w:p>
            <w:pPr>
              <w:pStyle w:val="Compact"/>
              <w:spacing w:line="240" w:lineRule="auto"/>
              <w:ind w:firstLine="0"/>
            </w:pPr>
            <w:r>
              <w:rPr>
                <w:rFonts w:hint="eastAsia"/>
                <w:sz w:val="21"/>
              </w:rPr>
              <w:t xml:space="preserve">《美台国防创新伙伴关系法》（纳恩）；《台湾能源安全与反封锁法》（哈里根）</w:t>
            </w:r>
          </w:p>
        </w:tc>
      </w:tr>
      <w:tr>
        <w:tc>
          <w:tcPr/>
          <w:p>
            <w:pPr>
              <w:pStyle w:val="Compact"/>
              <w:spacing w:line="240" w:lineRule="auto"/>
              <w:ind w:firstLine="0"/>
            </w:pPr>
            <w:r>
              <w:rPr>
                <w:rFonts w:hint="eastAsia"/>
                <w:sz w:val="21"/>
              </w:rPr>
              <w:t xml:space="preserve">农业、能源、矿产与土地</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7</w:t>
            </w:r>
          </w:p>
        </w:tc>
        <w:tc>
          <w:tcPr/>
          <w:p>
            <w:pPr>
              <w:pStyle w:val="Compact"/>
              <w:spacing w:line="240" w:lineRule="auto"/>
              <w:ind w:firstLine="0"/>
            </w:pPr>
            <w:r>
              <w:rPr>
                <w:sz w:val="21"/>
              </w:rPr>
              <w:t xml:space="preserve">1</w:t>
            </w:r>
          </w:p>
        </w:tc>
        <w:tc>
          <w:tcPr/>
          <w:p>
            <w:pPr>
              <w:pStyle w:val="Compact"/>
              <w:spacing w:line="240" w:lineRule="auto"/>
              <w:ind w:firstLine="0"/>
            </w:pPr>
            <w:r>
              <w:rPr>
                <w:rFonts w:hint="eastAsia"/>
                <w:sz w:val="21"/>
              </w:rPr>
              <w:t xml:space="preserve">《保障美国农业安全法》（欣森）；《保护我们的农场和住宅免受中国侵害法》（霍利）</w:t>
            </w:r>
          </w:p>
        </w:tc>
      </w:tr>
      <w:tr>
        <w:tc>
          <w:tcPr/>
          <w:p>
            <w:pPr>
              <w:pStyle w:val="Compact"/>
              <w:spacing w:line="240" w:lineRule="auto"/>
              <w:ind w:firstLine="0"/>
            </w:pPr>
            <w:r>
              <w:rPr>
                <w:rFonts w:hint="eastAsia"/>
                <w:sz w:val="21"/>
              </w:rPr>
              <w:t xml:space="preserve">人权、香港、新疆、西藏</w:t>
            </w:r>
          </w:p>
        </w:tc>
        <w:tc>
          <w:tcPr/>
          <w:p>
            <w:pPr>
              <w:pStyle w:val="Compact"/>
              <w:spacing w:line="240" w:lineRule="auto"/>
              <w:ind w:firstLine="0"/>
            </w:pPr>
            <w:r>
              <w:rPr>
                <w:sz w:val="21"/>
              </w:rPr>
              <w:t xml:space="preserve">6</w:t>
            </w:r>
          </w:p>
        </w:tc>
        <w:tc>
          <w:tcPr/>
          <w:p>
            <w:pPr>
              <w:pStyle w:val="Compact"/>
              <w:spacing w:line="240" w:lineRule="auto"/>
              <w:ind w:firstLine="0"/>
            </w:pPr>
            <w:r>
              <w:rPr>
                <w:sz w:val="21"/>
              </w:rPr>
              <w:t xml:space="preserve">3</w:t>
            </w:r>
          </w:p>
        </w:tc>
        <w:tc>
          <w:tcPr/>
          <w:p>
            <w:pPr>
              <w:pStyle w:val="Compact"/>
              <w:spacing w:line="240" w:lineRule="auto"/>
              <w:ind w:firstLine="0"/>
            </w:pPr>
            <w:r>
              <w:rPr>
                <w:sz w:val="21"/>
              </w:rPr>
              <w:t xml:space="preserve">3</w:t>
            </w:r>
          </w:p>
        </w:tc>
        <w:tc>
          <w:tcPr/>
          <w:p>
            <w:pPr>
              <w:pStyle w:val="Compact"/>
              <w:spacing w:line="240" w:lineRule="auto"/>
              <w:ind w:firstLine="0"/>
            </w:pPr>
            <w:r>
              <w:rPr>
                <w:rFonts w:hint="eastAsia"/>
                <w:sz w:val="21"/>
              </w:rPr>
              <w:t xml:space="preserve">《维吾尔人权保护法》《维吾尔强迫劳动披露法》（苏布拉曼尼亚姆）</w:t>
            </w:r>
          </w:p>
        </w:tc>
      </w:tr>
      <w:tr>
        <w:tc>
          <w:tcPr/>
          <w:p>
            <w:pPr>
              <w:pStyle w:val="Compact"/>
              <w:spacing w:line="240" w:lineRule="auto"/>
              <w:ind w:firstLine="0"/>
            </w:pPr>
            <w:r>
              <w:rPr>
                <w:rFonts w:hint="eastAsia"/>
                <w:sz w:val="21"/>
              </w:rPr>
              <w:t xml:space="preserve">教育科研与人才交流</w:t>
            </w:r>
          </w:p>
        </w:tc>
        <w:tc>
          <w:tcPr/>
          <w:p>
            <w:pPr>
              <w:pStyle w:val="Compact"/>
              <w:spacing w:line="240" w:lineRule="auto"/>
              <w:ind w:firstLine="0"/>
            </w:pPr>
            <w:r>
              <w:rPr>
                <w:sz w:val="21"/>
              </w:rPr>
              <w:t xml:space="preserve">4</w:t>
            </w:r>
          </w:p>
        </w:tc>
        <w:tc>
          <w:tcPr/>
          <w:p>
            <w:pPr>
              <w:pStyle w:val="Compact"/>
              <w:spacing w:line="240" w:lineRule="auto"/>
              <w:ind w:firstLine="0"/>
            </w:pPr>
            <w:r>
              <w:rPr>
                <w:sz w:val="21"/>
              </w:rPr>
              <w:t xml:space="preserve">3</w:t>
            </w:r>
          </w:p>
        </w:tc>
        <w:tc>
          <w:tcPr/>
          <w:p>
            <w:pPr>
              <w:pStyle w:val="Compact"/>
              <w:spacing w:line="240" w:lineRule="auto"/>
              <w:ind w:firstLine="0"/>
            </w:pPr>
            <w:r>
              <w:rPr>
                <w:sz w:val="21"/>
              </w:rPr>
              <w:t xml:space="preserve">1</w:t>
            </w:r>
          </w:p>
        </w:tc>
        <w:tc>
          <w:tcPr/>
          <w:p>
            <w:pPr>
              <w:pStyle w:val="Compact"/>
              <w:spacing w:line="240" w:lineRule="auto"/>
              <w:ind w:firstLine="0"/>
            </w:pPr>
            <w:r>
              <w:rPr>
                <w:rFonts w:hint="eastAsia"/>
                <w:sz w:val="21"/>
              </w:rPr>
              <w:t xml:space="preserve">《阻止中共签证法》（穆尔）；《保障STEM安全法》（哈里根）</w:t>
            </w:r>
          </w:p>
        </w:tc>
      </w:tr>
      <w:tr>
        <w:tc>
          <w:tcPr/>
          <w:p>
            <w:pPr>
              <w:pStyle w:val="Compact"/>
              <w:spacing w:line="240" w:lineRule="auto"/>
              <w:ind w:firstLine="0"/>
            </w:pPr>
            <w:r>
              <w:rPr>
                <w:rFonts w:hint="eastAsia"/>
                <w:sz w:val="21"/>
              </w:rPr>
              <w:t xml:space="preserve">合计</w:t>
            </w:r>
          </w:p>
        </w:tc>
        <w:tc>
          <w:tcPr/>
          <w:p>
            <w:pPr>
              <w:pStyle w:val="Compact"/>
              <w:spacing w:line="240" w:lineRule="auto"/>
              <w:ind w:firstLine="0"/>
            </w:pPr>
            <w:r>
              <w:rPr>
                <w:sz w:val="21"/>
              </w:rPr>
              <w:t xml:space="preserve">83</w:t>
            </w:r>
          </w:p>
        </w:tc>
        <w:tc>
          <w:tcPr/>
          <w:p>
            <w:pPr>
              <w:pStyle w:val="Compact"/>
              <w:spacing w:line="240" w:lineRule="auto"/>
              <w:ind w:firstLine="0"/>
            </w:pPr>
            <w:r>
              <w:rPr>
                <w:sz w:val="21"/>
              </w:rPr>
              <w:t xml:space="preserve">60</w:t>
            </w:r>
          </w:p>
        </w:tc>
        <w:tc>
          <w:tcPr/>
          <w:p>
            <w:pPr>
              <w:pStyle w:val="Compact"/>
              <w:spacing w:line="240" w:lineRule="auto"/>
              <w:ind w:firstLine="0"/>
            </w:pPr>
            <w:r>
              <w:rPr>
                <w:sz w:val="21"/>
              </w:rPr>
              <w:t xml:space="preserve">23</w:t>
            </w:r>
          </w:p>
        </w:tc>
        <w:tc>
          <w:tcPr/>
          <w:p>
            <w:pPr>
              <w:pStyle w:val="Compact"/>
              <w:spacing w:line="240" w:lineRule="auto"/>
              <w:ind w:firstLine="0"/>
            </w:pPr>
          </w:p>
        </w:tc>
      </w:tr>
    </w:tbl>
    <w:p>
      <w:pPr>
        <w:pStyle w:val="BodyText"/>
      </w:pPr>
      <w:r>
        <w:rPr>
          <w:rFonts w:hint="eastAsia"/>
        </w:rPr>
        <w:t xml:space="preserve">资料来源：笔者根据各法案文本编码整理。</w:t>
      </w:r>
    </w:p>
    <w:p>
      <w:pPr>
        <w:pStyle w:val="BodyText"/>
      </w:pPr>
      <w:r>
        <w:rPr>
          <w:rFonts w:hint="eastAsia"/>
        </w:rPr>
        <w:t xml:space="preserve">议题分布呈现三个特点。第一，经济安全类议题占据主导。出口管制与供应链、科技竞争和经贸关税三类合计38个标签，接近总数的一半，而传统的军事安全与台湾议题合计16个标签。这一结构与国会整体涉华立法的重心一致，但新生代议员在其中更多选择具体的监管接口：劳勒的法案针对在证券交易委员会注册的中资经纪商，米勒的法案修改《出口管制改革法》的定义条款以纳入1260H清单企业，史蒂文斯的法案修改《1974年贸易法》第301条的授权范围，古登的法案要求智库等免税组织披露外国政府捐款。</w:t>
      </w:r>
    </w:p>
    <w:p>
      <w:pPr>
        <w:pStyle w:val="BodyText"/>
      </w:pPr>
      <w:r>
        <w:rPr>
          <w:rFonts w:hint="eastAsia"/>
        </w:rPr>
        <w:t xml:space="preserve">第二，两党在议题偏好上存在可辨识的差异。共和党核心议员主提的法案在影响力渗透（9项）、农业能源矿产（7项）和台湾（7项）三类议题上占据绝对多数，民主党仅分别有2项、1项和1项；民主党议员的法案则相对集中于经贸关税（4项）、人权（3项）和供应链（5项）。苏布拉曼尼亚姆的3项法案全部围绕新疆强迫劳动，史蒂文斯的3项法案中2项针对中国汽车，戈尔登的《安全贸易法》在普遍加征进口关税的框架下为中国单设一编并规定不低于35%的税率，表现出民主党新生代议员将涉华议题与劳工、产业和人权传统议题相结合的倾向。共和党议员则更多将涉华议题与国内安全、边境、移民和选区农业利益相连接，穆尔的《阻止中共签证法》禁止中国公民以学生身份入境，麦克道尔的移民假释改革法案禁止对中国等国国民给予假释，均属此类。</w:t>
      </w:r>
    </w:p>
    <w:p>
      <w:pPr>
        <w:pStyle w:val="BodyText"/>
      </w:pPr>
      <w:r>
        <w:rPr>
          <w:rFonts w:hint="eastAsia"/>
        </w:rPr>
        <w:t xml:space="preserve">第三，交叉议题和新兴议题是新生代议员相对活跃的领域。在交叉议题上，纳恩的《巩固美国市场免受中国军事侵略法》将台海军事风险与金融稳定监管相结合，要求在金融稳定监督委员会下设立评估中国对台军事行动经济后果的咨询委员会；哈里根的《台湾能源安全与反封锁法》将台湾议题与能源安全相结合；苏布拉曼尼亚姆的《禁止资金用于强迫劳动法》和《维吾尔强迫劳动披露法》将人权议题分别嵌入国际金融机构投票和证券信息披露制度；米勒与希伊的《中非矿业透明法》将关键矿产、强迫劳动与中国在非洲的活动相结合。在新兴议题上，人工智能是最集中的领域：霍利的《美国人工智能能力与中国脱钩法》禁止美国人推进中国境内的人工智能能力，埃文斯的《开源人工智能领导力法》要求商务部评估中国等国开源模型的风险并推广美国模型，哈里根的《人工智能网络防御法》要求国家标准与技术研究院就“蒸馏攻击”制定标准；基础样本成员还有9人联署了《禁止政府设备使用DeepSeek法》，10人联署了《人工智能监督法》。量子技术（劳勒、安迪·金、尼古拉斯·兰沃西〔Nicholas</w:t>
      </w:r>
      <w:r>
        <w:t xml:space="preserve"> </w:t>
      </w:r>
      <w:r>
        <w:rPr>
          <w:rFonts w:hint="eastAsia"/>
        </w:rPr>
        <w:t xml:space="preserve">Langworthy〕）、联网汽车（史蒂文斯及28名联署《2026年联网汽车安全法》的基础样本成员）、无人机（文斯·冯〔Vince</w:t>
      </w:r>
      <w:r>
        <w:t xml:space="preserve"> </w:t>
      </w:r>
      <w:r>
        <w:rPr>
          <w:rFonts w:hint="eastAsia"/>
        </w:rPr>
        <w:t xml:space="preserve">Fong〕、哈里根）、电子烟（欣森）、跨境电信诈骗园区（15名基础样本成员联署《瓦解外国诈骗集团法》）等议题，也集中出现在新生代议员的提案和联署之中。这些议题的共同特点是技术更新快、监管空白多、与选民日常生活关联直接，为资历较浅的议员提供了不必与资深议员正面竞争即可设置议题的空间。</w:t>
      </w:r>
    </w:p>
    <w:bookmarkEnd w:id="32"/>
    <w:bookmarkStart w:id="33" w:name="三行为方式与政策工具"/>
    <w:p>
      <w:pPr>
        <w:pStyle w:val="Heading2"/>
      </w:pPr>
      <w:r>
        <w:rPr>
          <w:rFonts w:hint="eastAsia"/>
        </w:rPr>
        <w:t xml:space="preserve">（三）行为方式与政策工具</w:t>
      </w:r>
    </w:p>
    <w:p>
      <w:pPr>
        <w:pStyle w:val="FirstParagraph"/>
      </w:pPr>
      <w:r>
        <w:rPr>
          <w:rFonts w:hint="eastAsia"/>
        </w:rPr>
        <w:t xml:space="preserve">对56项主提案按七类政策工具进行多标签编码，共得到70个工具标签（见表4）。审查型（23项）和限制型（20项）两类合计占61%，组织建设型和资源投入型各8项，表态型6项，制裁型3项，管制型2项。</w:t>
      </w:r>
    </w:p>
    <w:p>
      <w:pPr>
        <w:pStyle w:val="BodyText"/>
      </w:pPr>
      <w:r>
        <w:rPr>
          <w:rFonts w:hint="eastAsia"/>
        </w:rPr>
        <w:t xml:space="preserve">表4</w:t>
      </w:r>
      <w:r>
        <w:t xml:space="preserve"> </w:t>
      </w:r>
      <w:r>
        <w:rPr>
          <w:rFonts w:hint="eastAsia"/>
        </w:rPr>
        <w:t xml:space="preserve">基础样本涉华主提案的政策工具分布（多标签，项）</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40" w:lineRule="auto"/>
              <w:ind w:firstLine="0"/>
            </w:pPr>
            <w:r>
              <w:rPr>
                <w:rFonts w:hint="eastAsia"/>
                <w:sz w:val="21"/>
              </w:rPr>
              <w:t xml:space="preserve">政策工具</w:t>
            </w:r>
          </w:p>
        </w:tc>
        <w:tc>
          <w:tcPr/>
          <w:p>
            <w:pPr>
              <w:pStyle w:val="Compact"/>
              <w:spacing w:line="240" w:lineRule="auto"/>
              <w:ind w:firstLine="0"/>
            </w:pPr>
            <w:r>
              <w:rPr>
                <w:rFonts w:hint="eastAsia"/>
                <w:sz w:val="21"/>
              </w:rPr>
              <w:t xml:space="preserve">合计</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典型形式</w:t>
            </w:r>
          </w:p>
        </w:tc>
      </w:tr>
      <w:tr>
        <w:tc>
          <w:tcPr/>
          <w:p>
            <w:pPr>
              <w:pStyle w:val="Compact"/>
              <w:spacing w:line="240" w:lineRule="auto"/>
              <w:ind w:firstLine="0"/>
            </w:pPr>
            <w:r>
              <w:rPr>
                <w:rFonts w:hint="eastAsia"/>
                <w:sz w:val="21"/>
              </w:rPr>
              <w:t xml:space="preserve">审查型</w:t>
            </w:r>
          </w:p>
        </w:tc>
        <w:tc>
          <w:tcPr/>
          <w:p>
            <w:pPr>
              <w:pStyle w:val="Compact"/>
              <w:spacing w:line="240" w:lineRule="auto"/>
              <w:ind w:firstLine="0"/>
            </w:pPr>
            <w:r>
              <w:rPr>
                <w:sz w:val="21"/>
              </w:rPr>
              <w:t xml:space="preserve">23</w:t>
            </w:r>
          </w:p>
        </w:tc>
        <w:tc>
          <w:tcPr/>
          <w:p>
            <w:pPr>
              <w:pStyle w:val="Compact"/>
              <w:spacing w:line="240" w:lineRule="auto"/>
              <w:ind w:firstLine="0"/>
            </w:pPr>
            <w:r>
              <w:rPr>
                <w:sz w:val="21"/>
              </w:rPr>
              <w:t xml:space="preserve">18</w:t>
            </w:r>
          </w:p>
        </w:tc>
        <w:tc>
          <w:tcPr/>
          <w:p>
            <w:pPr>
              <w:pStyle w:val="Compact"/>
              <w:spacing w:line="240" w:lineRule="auto"/>
              <w:ind w:firstLine="0"/>
            </w:pPr>
            <w:r>
              <w:rPr>
                <w:sz w:val="21"/>
              </w:rPr>
              <w:t xml:space="preserve">5</w:t>
            </w:r>
          </w:p>
        </w:tc>
        <w:tc>
          <w:tcPr/>
          <w:p>
            <w:pPr>
              <w:pStyle w:val="Compact"/>
              <w:spacing w:line="240" w:lineRule="auto"/>
              <w:ind w:firstLine="0"/>
            </w:pPr>
            <w:r>
              <w:rPr>
                <w:rFonts w:hint="eastAsia"/>
                <w:sz w:val="21"/>
              </w:rPr>
              <w:t xml:space="preserve">要求行政部门评估、报告、调查、信息披露</w:t>
            </w:r>
          </w:p>
        </w:tc>
      </w:tr>
      <w:tr>
        <w:tc>
          <w:tcPr/>
          <w:p>
            <w:pPr>
              <w:pStyle w:val="Compact"/>
              <w:spacing w:line="240" w:lineRule="auto"/>
              <w:ind w:firstLine="0"/>
            </w:pPr>
            <w:r>
              <w:rPr>
                <w:rFonts w:hint="eastAsia"/>
                <w:sz w:val="21"/>
              </w:rPr>
              <w:t xml:space="preserve">限制型</w:t>
            </w:r>
          </w:p>
        </w:tc>
        <w:tc>
          <w:tcPr/>
          <w:p>
            <w:pPr>
              <w:pStyle w:val="Compact"/>
              <w:spacing w:line="240" w:lineRule="auto"/>
              <w:ind w:firstLine="0"/>
            </w:pPr>
            <w:r>
              <w:rPr>
                <w:sz w:val="21"/>
              </w:rPr>
              <w:t xml:space="preserve">20</w:t>
            </w:r>
          </w:p>
        </w:tc>
        <w:tc>
          <w:tcPr/>
          <w:p>
            <w:pPr>
              <w:pStyle w:val="Compact"/>
              <w:spacing w:line="240" w:lineRule="auto"/>
              <w:ind w:firstLine="0"/>
            </w:pPr>
            <w:r>
              <w:rPr>
                <w:sz w:val="21"/>
              </w:rPr>
              <w:t xml:space="preserve">15</w:t>
            </w:r>
          </w:p>
        </w:tc>
        <w:tc>
          <w:tcPr/>
          <w:p>
            <w:pPr>
              <w:pStyle w:val="Compact"/>
              <w:spacing w:line="240" w:lineRule="auto"/>
              <w:ind w:firstLine="0"/>
            </w:pPr>
            <w:r>
              <w:rPr>
                <w:sz w:val="21"/>
              </w:rPr>
              <w:t xml:space="preserve">5</w:t>
            </w:r>
          </w:p>
        </w:tc>
        <w:tc>
          <w:tcPr/>
          <w:p>
            <w:pPr>
              <w:pStyle w:val="Compact"/>
              <w:spacing w:line="240" w:lineRule="auto"/>
              <w:ind w:firstLine="0"/>
            </w:pPr>
            <w:r>
              <w:rPr>
                <w:rFonts w:hint="eastAsia"/>
                <w:sz w:val="21"/>
              </w:rPr>
              <w:t xml:space="preserve">限制采购、签证、注册、资金使用、市场准入</w:t>
            </w:r>
          </w:p>
        </w:tc>
      </w:tr>
      <w:tr>
        <w:tc>
          <w:tcPr/>
          <w:p>
            <w:pPr>
              <w:pStyle w:val="Compact"/>
              <w:spacing w:line="240" w:lineRule="auto"/>
              <w:ind w:firstLine="0"/>
            </w:pPr>
            <w:r>
              <w:rPr>
                <w:rFonts w:hint="eastAsia"/>
                <w:sz w:val="21"/>
              </w:rPr>
              <w:t xml:space="preserve">组织建设型</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7</w:t>
            </w:r>
          </w:p>
        </w:tc>
        <w:tc>
          <w:tcPr/>
          <w:p>
            <w:pPr>
              <w:pStyle w:val="Compact"/>
              <w:spacing w:line="240" w:lineRule="auto"/>
              <w:ind w:firstLine="0"/>
            </w:pPr>
            <w:r>
              <w:rPr>
                <w:sz w:val="21"/>
              </w:rPr>
              <w:t xml:space="preserve">1</w:t>
            </w:r>
          </w:p>
        </w:tc>
        <w:tc>
          <w:tcPr/>
          <w:p>
            <w:pPr>
              <w:pStyle w:val="Compact"/>
              <w:spacing w:line="240" w:lineRule="auto"/>
              <w:ind w:firstLine="0"/>
            </w:pPr>
            <w:r>
              <w:rPr>
                <w:rFonts w:hint="eastAsia"/>
                <w:sz w:val="21"/>
              </w:rPr>
              <w:t xml:space="preserve">设立工作组、咨询委员会、专项倡议、伙伴关系</w:t>
            </w:r>
          </w:p>
        </w:tc>
      </w:tr>
      <w:tr>
        <w:tc>
          <w:tcPr/>
          <w:p>
            <w:pPr>
              <w:pStyle w:val="Compact"/>
              <w:spacing w:line="240" w:lineRule="auto"/>
              <w:ind w:firstLine="0"/>
            </w:pPr>
            <w:r>
              <w:rPr>
                <w:rFonts w:hint="eastAsia"/>
                <w:sz w:val="21"/>
              </w:rPr>
              <w:t xml:space="preserve">资源投入型</w:t>
            </w:r>
          </w:p>
        </w:tc>
        <w:tc>
          <w:tcPr/>
          <w:p>
            <w:pPr>
              <w:pStyle w:val="Compact"/>
              <w:spacing w:line="240" w:lineRule="auto"/>
              <w:ind w:firstLine="0"/>
            </w:pPr>
            <w:r>
              <w:rPr>
                <w:sz w:val="21"/>
              </w:rPr>
              <w:t xml:space="preserve">8</w:t>
            </w:r>
          </w:p>
        </w:tc>
        <w:tc>
          <w:tcPr/>
          <w:p>
            <w:pPr>
              <w:pStyle w:val="Compact"/>
              <w:spacing w:line="240" w:lineRule="auto"/>
              <w:ind w:firstLine="0"/>
            </w:pPr>
            <w:r>
              <w:rPr>
                <w:sz w:val="21"/>
              </w:rPr>
              <w:t xml:space="preserve">5</w:t>
            </w:r>
          </w:p>
        </w:tc>
        <w:tc>
          <w:tcPr/>
          <w:p>
            <w:pPr>
              <w:pStyle w:val="Compact"/>
              <w:spacing w:line="240" w:lineRule="auto"/>
              <w:ind w:firstLine="0"/>
            </w:pPr>
            <w:r>
              <w:rPr>
                <w:sz w:val="21"/>
              </w:rPr>
              <w:t xml:space="preserve">3</w:t>
            </w:r>
          </w:p>
        </w:tc>
        <w:tc>
          <w:tcPr/>
          <w:p>
            <w:pPr>
              <w:pStyle w:val="Compact"/>
              <w:spacing w:line="240" w:lineRule="auto"/>
              <w:ind w:firstLine="0"/>
            </w:pPr>
            <w:r>
              <w:rPr>
                <w:rFonts w:hint="eastAsia"/>
                <w:sz w:val="21"/>
              </w:rPr>
              <w:t xml:space="preserve">授权经费、扩大融资项目、难民配额</w:t>
            </w:r>
          </w:p>
        </w:tc>
      </w:tr>
      <w:tr>
        <w:tc>
          <w:tcPr/>
          <w:p>
            <w:pPr>
              <w:pStyle w:val="Compact"/>
              <w:spacing w:line="240" w:lineRule="auto"/>
              <w:ind w:firstLine="0"/>
            </w:pPr>
            <w:r>
              <w:rPr>
                <w:rFonts w:hint="eastAsia"/>
                <w:sz w:val="21"/>
              </w:rPr>
              <w:t xml:space="preserve">表态型</w:t>
            </w:r>
          </w:p>
        </w:tc>
        <w:tc>
          <w:tcPr/>
          <w:p>
            <w:pPr>
              <w:pStyle w:val="Compact"/>
              <w:spacing w:line="240" w:lineRule="auto"/>
              <w:ind w:firstLine="0"/>
            </w:pPr>
            <w:r>
              <w:rPr>
                <w:sz w:val="21"/>
              </w:rPr>
              <w:t xml:space="preserve">6</w:t>
            </w:r>
          </w:p>
        </w:tc>
        <w:tc>
          <w:tcPr/>
          <w:p>
            <w:pPr>
              <w:pStyle w:val="Compact"/>
              <w:spacing w:line="240" w:lineRule="auto"/>
              <w:ind w:firstLine="0"/>
            </w:pPr>
            <w:r>
              <w:rPr>
                <w:sz w:val="21"/>
              </w:rPr>
              <w:t xml:space="preserve">4</w:t>
            </w:r>
          </w:p>
        </w:tc>
        <w:tc>
          <w:tcPr/>
          <w:p>
            <w:pPr>
              <w:pStyle w:val="Compact"/>
              <w:spacing w:line="240" w:lineRule="auto"/>
              <w:ind w:firstLine="0"/>
            </w:pPr>
            <w:r>
              <w:rPr>
                <w:sz w:val="21"/>
              </w:rPr>
              <w:t xml:space="preserve">2</w:t>
            </w:r>
          </w:p>
        </w:tc>
        <w:tc>
          <w:tcPr/>
          <w:p>
            <w:pPr>
              <w:pStyle w:val="Compact"/>
              <w:spacing w:line="240" w:lineRule="auto"/>
              <w:ind w:firstLine="0"/>
            </w:pPr>
            <w:r>
              <w:rPr>
                <w:rFonts w:hint="eastAsia"/>
                <w:sz w:val="21"/>
              </w:rPr>
              <w:t xml:space="preserve">决议、更名、政策宣示</w:t>
            </w:r>
          </w:p>
        </w:tc>
      </w:tr>
      <w:tr>
        <w:tc>
          <w:tcPr/>
          <w:p>
            <w:pPr>
              <w:pStyle w:val="Compact"/>
              <w:spacing w:line="240" w:lineRule="auto"/>
              <w:ind w:firstLine="0"/>
            </w:pPr>
            <w:r>
              <w:rPr>
                <w:rFonts w:hint="eastAsia"/>
                <w:sz w:val="21"/>
              </w:rPr>
              <w:t xml:space="preserve">制裁型</w:t>
            </w:r>
          </w:p>
        </w:tc>
        <w:tc>
          <w:tcPr/>
          <w:p>
            <w:pPr>
              <w:pStyle w:val="Compact"/>
              <w:spacing w:line="240" w:lineRule="auto"/>
              <w:ind w:firstLine="0"/>
            </w:pPr>
            <w:r>
              <w:rPr>
                <w:sz w:val="21"/>
              </w:rPr>
              <w:t xml:space="preserve">3</w:t>
            </w:r>
          </w:p>
        </w:tc>
        <w:tc>
          <w:tcPr/>
          <w:p>
            <w:pPr>
              <w:pStyle w:val="Compact"/>
              <w:spacing w:line="240" w:lineRule="auto"/>
              <w:ind w:firstLine="0"/>
            </w:pPr>
            <w:r>
              <w:rPr>
                <w:sz w:val="21"/>
              </w:rPr>
              <w:t xml:space="preserve">2</w:t>
            </w:r>
          </w:p>
        </w:tc>
        <w:tc>
          <w:tcPr/>
          <w:p>
            <w:pPr>
              <w:pStyle w:val="Compact"/>
              <w:spacing w:line="240" w:lineRule="auto"/>
              <w:ind w:firstLine="0"/>
            </w:pPr>
            <w:r>
              <w:rPr>
                <w:sz w:val="21"/>
              </w:rPr>
              <w:t xml:space="preserve">1</w:t>
            </w:r>
          </w:p>
        </w:tc>
        <w:tc>
          <w:tcPr/>
          <w:p>
            <w:pPr>
              <w:pStyle w:val="Compact"/>
              <w:spacing w:line="240" w:lineRule="auto"/>
              <w:ind w:firstLine="0"/>
            </w:pPr>
            <w:r>
              <w:rPr>
                <w:rFonts w:hint="eastAsia"/>
                <w:sz w:val="21"/>
              </w:rPr>
              <w:t xml:space="preserve">签证制裁、终止税收协定、法典化行政令制裁</w:t>
            </w:r>
          </w:p>
        </w:tc>
      </w:tr>
      <w:tr>
        <w:tc>
          <w:tcPr/>
          <w:p>
            <w:pPr>
              <w:pStyle w:val="Compact"/>
              <w:spacing w:line="240" w:lineRule="auto"/>
              <w:ind w:firstLine="0"/>
            </w:pPr>
            <w:r>
              <w:rPr>
                <w:rFonts w:hint="eastAsia"/>
                <w:sz w:val="21"/>
              </w:rPr>
              <w:t xml:space="preserve">管制型</w:t>
            </w:r>
          </w:p>
        </w:tc>
        <w:tc>
          <w:tcPr/>
          <w:p>
            <w:pPr>
              <w:pStyle w:val="Compact"/>
              <w:spacing w:line="240" w:lineRule="auto"/>
              <w:ind w:firstLine="0"/>
            </w:pPr>
            <w:r>
              <w:rPr>
                <w:sz w:val="21"/>
              </w:rPr>
              <w:t xml:space="preserve">2</w:t>
            </w:r>
          </w:p>
        </w:tc>
        <w:tc>
          <w:tcPr/>
          <w:p>
            <w:pPr>
              <w:pStyle w:val="Compact"/>
              <w:spacing w:line="240" w:lineRule="auto"/>
              <w:ind w:firstLine="0"/>
            </w:pPr>
            <w:r>
              <w:rPr>
                <w:sz w:val="21"/>
              </w:rPr>
              <w:t xml:space="preserve">2</w:t>
            </w:r>
          </w:p>
        </w:tc>
        <w:tc>
          <w:tcPr/>
          <w:p>
            <w:pPr>
              <w:pStyle w:val="Compact"/>
              <w:spacing w:line="240" w:lineRule="auto"/>
              <w:ind w:firstLine="0"/>
            </w:pPr>
            <w:r>
              <w:rPr>
                <w:sz w:val="21"/>
              </w:rPr>
              <w:t xml:space="preserve">0</w:t>
            </w:r>
          </w:p>
        </w:tc>
        <w:tc>
          <w:tcPr/>
          <w:p>
            <w:pPr>
              <w:pStyle w:val="Compact"/>
              <w:spacing w:line="240" w:lineRule="auto"/>
              <w:ind w:firstLine="0"/>
            </w:pPr>
            <w:r>
              <w:rPr>
                <w:rFonts w:hint="eastAsia"/>
                <w:sz w:val="21"/>
              </w:rPr>
              <w:t xml:space="preserve">修改出口管制定义、限制技术进出口</w:t>
            </w:r>
          </w:p>
        </w:tc>
      </w:tr>
      <w:tr>
        <w:tc>
          <w:tcPr/>
          <w:p>
            <w:pPr>
              <w:pStyle w:val="Compact"/>
              <w:spacing w:line="240" w:lineRule="auto"/>
              <w:ind w:firstLine="0"/>
            </w:pPr>
            <w:r>
              <w:rPr>
                <w:rFonts w:hint="eastAsia"/>
                <w:sz w:val="21"/>
              </w:rPr>
              <w:t xml:space="preserve">合计</w:t>
            </w:r>
          </w:p>
        </w:tc>
        <w:tc>
          <w:tcPr/>
          <w:p>
            <w:pPr>
              <w:pStyle w:val="Compact"/>
              <w:spacing w:line="240" w:lineRule="auto"/>
              <w:ind w:firstLine="0"/>
            </w:pPr>
            <w:r>
              <w:rPr>
                <w:sz w:val="21"/>
              </w:rPr>
              <w:t xml:space="preserve">70</w:t>
            </w:r>
          </w:p>
        </w:tc>
        <w:tc>
          <w:tcPr/>
          <w:p>
            <w:pPr>
              <w:pStyle w:val="Compact"/>
              <w:spacing w:line="240" w:lineRule="auto"/>
              <w:ind w:firstLine="0"/>
            </w:pPr>
            <w:r>
              <w:rPr>
                <w:sz w:val="21"/>
              </w:rPr>
              <w:t xml:space="preserve">53</w:t>
            </w:r>
          </w:p>
        </w:tc>
        <w:tc>
          <w:tcPr/>
          <w:p>
            <w:pPr>
              <w:pStyle w:val="Compact"/>
              <w:spacing w:line="240" w:lineRule="auto"/>
              <w:ind w:firstLine="0"/>
            </w:pPr>
            <w:r>
              <w:rPr>
                <w:sz w:val="21"/>
              </w:rPr>
              <w:t xml:space="preserve">17</w:t>
            </w:r>
          </w:p>
        </w:tc>
        <w:tc>
          <w:tcPr/>
          <w:p>
            <w:pPr>
              <w:pStyle w:val="Compact"/>
              <w:spacing w:line="240" w:lineRule="auto"/>
              <w:ind w:firstLine="0"/>
            </w:pPr>
          </w:p>
        </w:tc>
      </w:tr>
    </w:tbl>
    <w:p>
      <w:pPr>
        <w:pStyle w:val="BodyText"/>
      </w:pPr>
      <w:r>
        <w:rPr>
          <w:rFonts w:hint="eastAsia"/>
        </w:rPr>
        <w:t xml:space="preserve">资料来源：笔者根据各法案文本编码整理。</w:t>
      </w:r>
    </w:p>
    <w:p>
      <w:pPr>
        <w:pStyle w:val="BodyText"/>
      </w:pPr>
      <w:r>
        <w:rPr>
          <w:rFonts w:hint="eastAsia"/>
        </w:rPr>
        <w:t xml:space="preserve">审查型工具的高频使用是新生代议员涉华法案的突出特征。该类法案通常要求行政部门在规定期限内提交评估报告或建立信息披露义务，不直接设定新的禁止性义务。欣森的《保障美国农业安全法》要求农业部年度评估对华农业投入品依赖，陈的《打击中共影响力法》要求国家情报总监评估中共恶意影响活动，莫斯科维茨的《打击海外不可信电信法》要求评估海外使领馆使用华为、中兴设备的情况，托雷斯的《巴尔干安全合作法》要求评估西巴尔干国家与中国的安全合作，史蒂文斯的《安全铝供应链法》要求国际贸易委员会调查向中国出口废铝的安全风险。审查型法案的政策成本最低，不触及具体企业和盟友利益，容易获得跨党派联署，也容易被并入国防授权法等大型法案的报告条款，是资历有限的议员进入涉华议程的典型路径。</w:t>
      </w:r>
    </w:p>
    <w:p>
      <w:pPr>
        <w:pStyle w:val="BodyText"/>
      </w:pPr>
      <w:r>
        <w:rPr>
          <w:rFonts w:hint="eastAsia"/>
        </w:rPr>
        <w:t xml:space="preserve">限制型工具是强制程度居中的选择，其对象呈现高度分散化：米尔斯限制与中国有关联的小企业获得小企业管理局援助、限制使用中国实体建造的使领馆房产；穆尔和哈里根分别限制中国学生签证和STEM专业签证；劳勒禁止有特定中资关联的经纪商在证券交易委员会注册；托雷斯禁止高校接受中国等四国捐赠；哈马德禁止在众议院设施内分发《中国日报》等中共控制的出版物；欣森对走私中国电子烟设置累进罚款；史蒂文斯禁止外国对手相关联网汽车入境。这些法案均以具体产品、机构、人群或程序为切口，单项政策成本有限，但累积效应指向对中国在美经济与社会存在的全面限制。</w:t>
      </w:r>
    </w:p>
    <w:p>
      <w:pPr>
        <w:pStyle w:val="BodyText"/>
      </w:pPr>
      <w:r>
        <w:rPr>
          <w:rFonts w:hint="eastAsia"/>
        </w:rPr>
        <w:t xml:space="preserve">制裁型与管制型工具合计仅5项，占全部标签的7%。欣森的《驱逐非法中国警察法》要求对在美设立“海外警察站”的相关人员实施签证制裁，托尼·冈萨雷斯（Tony</w:t>
      </w:r>
      <w:r>
        <w:t xml:space="preserve"> </w:t>
      </w:r>
      <w:r>
        <w:rPr>
          <w:rFonts w:hint="eastAsia"/>
        </w:rPr>
        <w:t xml:space="preserve">Gonzales）的法案规定若解放军攻台则终止美中所得税协定，奥金克洛斯的《中共芬太尼制裁法》将第14059号行政令的芬太尼制裁法典化并针对中国；霍利的人工智能脱钩法案和米勒的《对手法》属于管制型。高强制工具使用频率低，一方面是因为制裁与出口管制的立法权限主要集中于外交、银行和金融服务委员会的资深成员，新生代议员在这些领域更多以联署方式参与（如安迪·金联署《对华投资限制法》和《安全芯片法》）；另一方面是因为此类法案直接触及特朗普政府在对华谈判中保留的筹码，在观察期内推进难度明显高于审查型法案。米勒的《对手法》是例外，该法案在2026年4月以44票对0票获外交委员会通过，其内容是将1260H清单企业纳入《出口管制改革法》的定义，属于对既有清单制度的技术性衔接而非新设管制。</w:t>
      </w:r>
    </w:p>
    <w:p>
      <w:pPr>
        <w:pStyle w:val="BodyText"/>
      </w:pPr>
      <w:r>
        <w:rPr>
          <w:rFonts w:hint="eastAsia"/>
        </w:rPr>
        <w:t xml:space="preserve">组织建设型和资源投入型工具各8项，集中体现了新生代议员的机制设计偏好。古登的法案要求在司法部国家安全司重建“中共倡议”，即2018年设立、2022年终止的“中国行动计划”的升级版本，该法案已获司法委员会通过并列入联盟日程；纳恩提出在金融稳定监督委员会下设咨询委员会，并建立美台国防创新伙伴关系；劳勒提出设立评估印太集体安全安排的工作组和保护台湾海底基础设施的专项倡议；哈里根要求国家标准与技术研究院制定人工智能安全标准。资源投入型法案中，劳勒和安迪·金将量子技术纳入进出口银行“中国与转型出口计划”，苏布拉曼尼亚姆将新疆居民列入P-2优先难民类别，哈里根的台湾能源法案授权相关援助。表态型工具仅6项，低于一般认为象征性决议在涉华立法中的比重，其中米尔斯将国会预算办公室更名为“中国预算办公室”的法案是观察期内最具象征色彩的提案。</w:t>
      </w:r>
    </w:p>
    <w:bookmarkEnd w:id="33"/>
    <w:bookmarkStart w:id="34" w:name="四文本特征与叙事方式"/>
    <w:p>
      <w:pPr>
        <w:pStyle w:val="Heading2"/>
      </w:pPr>
      <w:r>
        <w:rPr>
          <w:rFonts w:hint="eastAsia"/>
        </w:rPr>
        <w:t xml:space="preserve">（四）文本特征与叙事方式</w:t>
      </w:r>
    </w:p>
    <w:p>
      <w:pPr>
        <w:pStyle w:val="FirstParagraph"/>
      </w:pPr>
      <w:r>
        <w:rPr>
          <w:rFonts w:hint="eastAsia"/>
        </w:rPr>
        <w:t xml:space="preserve">新生代议员涉华法案的文本在对中国的指称、对中美关系的定位和核心概念的使用上呈现出相当一致的特征。</w:t>
      </w:r>
    </w:p>
    <w:p>
      <w:pPr>
        <w:pStyle w:val="BodyText"/>
      </w:pPr>
      <w:r>
        <w:rPr>
          <w:rFonts w:hint="eastAsia"/>
        </w:rPr>
        <w:t xml:space="preserve">在对中国国家性质的表述上，“中国共产党”（Chinese</w:t>
      </w:r>
      <w:r>
        <w:t xml:space="preserve"> Communist </w:t>
      </w:r>
      <w:r>
        <w:rPr>
          <w:rFonts w:hint="eastAsia"/>
        </w:rPr>
        <w:t xml:space="preserve">Party，CCP）取代“中国”成为法案标题中最常见的指称对象。56项法案中，标题直接使用“CCP”或“Chinese</w:t>
      </w:r>
      <w:r>
        <w:t xml:space="preserve"> Communist </w:t>
      </w:r>
      <w:r>
        <w:rPr>
          <w:rFonts w:hint="eastAsia"/>
        </w:rPr>
        <w:t xml:space="preserve">Party”者有5项，即古登的《保护美国创新与经济安全免受中共侵害法》、穆尔的《阻止中共签证法》、陈的《打击中共影响力法》、奥金克洛斯的《中共芬太尼制裁法》和哈马德关于“中共控制的出版物”的决议；另有“中国军事侵略”（纳恩）、“非法中国警察”（欣森）、“中国间谍气球”（弗赖）等带有明确价值判断的表述。民主党议员的法案标题相对克制，更多使用“中国汽车”“维吾尔”“强迫劳动”等指向具体对象的表述，但陈和奥金克洛斯两位民主党新人的法案标题同样使用“CCP”，表明这一指称已跨越党派成为国会涉华立法的通用语汇。B类法案则普遍采用“外国对手”（foreign</w:t>
      </w:r>
      <w:r>
        <w:t xml:space="preserve"> </w:t>
      </w:r>
      <w:r>
        <w:rPr>
          <w:rFonts w:hint="eastAsia"/>
        </w:rPr>
        <w:t xml:space="preserve">adversary）、“涵盖外国实体”（covered</w:t>
      </w:r>
      <w:r>
        <w:t xml:space="preserve"> foreign </w:t>
      </w:r>
      <w:r>
        <w:rPr>
          <w:rFonts w:hint="eastAsia"/>
        </w:rPr>
        <w:t xml:space="preserve">entity）、“受关注国家”（country</w:t>
      </w:r>
      <w:r>
        <w:t xml:space="preserve"> of </w:t>
      </w:r>
      <w:r>
        <w:rPr>
          <w:rFonts w:hint="eastAsia"/>
        </w:rPr>
        <w:t xml:space="preserve">concern）等法定术语，在定义条款中将中国与俄罗斯、伊朗、朝鲜并列，这一做法使法案在形式上具有普遍性，实质上以中国为首要对象。</w:t>
      </w:r>
    </w:p>
    <w:p>
      <w:pPr>
        <w:pStyle w:val="BodyText"/>
      </w:pPr>
      <w:r>
        <w:rPr>
          <w:rFonts w:hint="eastAsia"/>
        </w:rPr>
        <w:t xml:space="preserve">在对中美关系的定位上，56项法案中没有一项以促进中美合作或交流为目标，中美关系被一致地置于竞争与对抗的框架之下。“领导力”（leadership）是竞争框架中最常见的正面概念：劳勒和安迪·金的《推进美国量子领导力法》、埃文斯的《开源人工智能领导力法》以及米尔斯的国务卿授权法案中的台湾条款，均以维护美国在特定领域的领先地位为立法理由。“脱钩”（decoupling）一词在观察期内仅出现于霍利的法案标题，多数法案避免使用这一概念，而以“安全”（security）、“韧性”（resilience）、“可信”（trusted）等概念表达相近的政策取向：劳勒的海底基础设施法案以“韧性”为名，兰沃西的量子法案和埃文斯的投资法案以“可信供应链”“可信国家”为核心概念，欣森的农业法案将中国“武器化依赖”（weaponize</w:t>
      </w:r>
      <w:r>
        <w:t xml:space="preserve"> </w:t>
      </w:r>
      <w:r>
        <w:rPr>
          <w:rFonts w:hint="eastAsia"/>
        </w:rPr>
        <w:t xml:space="preserve">dependency）作为立法前提。这种概念选择反映出新生代议员在整体上接受了“去风险”而非“全面脱钩”的话语框架，但在具体领域推动的政策效果与脱钩并无本质差别。</w:t>
      </w:r>
    </w:p>
    <w:p>
      <w:pPr>
        <w:pStyle w:val="BodyText"/>
      </w:pPr>
      <w:r>
        <w:rPr>
          <w:rFonts w:hint="eastAsia"/>
        </w:rPr>
        <w:t xml:space="preserve">安全化是新生代议员涉华法案最普遍的叙事方式。经贸、科技和社会议题被系统地纳入国家安全框架：电子烟走私被表述为与中国相关的公共健康与执法问题，联网汽车被表述为数据与基础设施安全问题，废铝出口被表述为国防供应链问题，经纪商注册被表述为金融安全问题，高校捐赠被表述为学术安全问题，甚至国会预算办公室的更名也被赋予“揭示中国对美国财政影响”的含义。安全化叙事的功能在于降低立法门槛：一项以国家安全为由的限制措施，比以贸易保护或产业政策为由的同类措施更容易获得跨党派支持，也更容易在委员会审议中得到优先考虑。</w:t>
      </w:r>
    </w:p>
    <w:p>
      <w:pPr>
        <w:pStyle w:val="BodyText"/>
      </w:pPr>
      <w:r>
        <w:rPr>
          <w:rFonts w:hint="eastAsia"/>
        </w:rPr>
        <w:t xml:space="preserve">在对美国自身责任和改革需求的论述上，新生代议员的法案表现出比前几届更明显的“向内看”特征。古登的法案以司法部2022年终止“中国行动计划”为背景，将重建该机制作为纠正前任政府“政策失误”的措施；霍利的法案将美国企业向中国转移人工智能能力视为需要以法律禁止的行为；史蒂文斯的法案以现行贸易法工具不足以阻止中国汽车进入美国市场为由，要求修改第301条授权；劳勒和安迪·金的量子法案以美国在量子技术出口融资上落后于中国为立法前提；埃文斯的投资法案要求政府评估美国吸引“可信国家”投资的竞争力。这些论述的共同点是将中美竞争的问题归结为美国自身制度、政策和能力的不足，将涉华立法作为推动美国国内改革的杠杆，而非单纯针对中国行为的回应。</w:t>
      </w:r>
    </w:p>
    <w:bookmarkEnd w:id="34"/>
    <w:bookmarkStart w:id="37" w:name="五主要行动策略"/>
    <w:p>
      <w:pPr>
        <w:pStyle w:val="Heading2"/>
      </w:pPr>
      <w:r>
        <w:rPr>
          <w:rFonts w:hint="eastAsia"/>
        </w:rPr>
        <w:t xml:space="preserve">（五）主要行动策略</w:t>
      </w:r>
    </w:p>
    <w:p>
      <w:pPr>
        <w:pStyle w:val="FirstParagraph"/>
      </w:pPr>
      <w:r>
        <w:rPr>
          <w:rFonts w:hint="eastAsia"/>
        </w:rPr>
        <w:t xml:space="preserve">本文将泛安全化、强硬对抗、主动出击、加码推进、小切口立法、搭车立法和传播动员七种策略作为待检验的类型，逐一对照观察期内的行为记录。</w:t>
      </w:r>
    </w:p>
    <w:p>
      <w:pPr>
        <w:pStyle w:val="BodyText"/>
      </w:pPr>
      <w:r>
        <w:rPr>
          <w:rFonts w:hint="eastAsia"/>
        </w:rPr>
        <w:t xml:space="preserve">泛安全化策略在群体层面得到充分印证。如前所述，56项法案中绝大多数以国家安全为立法理由，其中至少20项的直接对象是传统上不属于国家安全范畴的经济和社会事务，包括小企业贷款、电子烟、联网汽车、废铝、经纪商注册、高校捐赠、智库资金、通用航空并购、使领馆建筑和议会出版物。这一策略为新生代议员的所有其他策略提供了话语基础。</w:t>
      </w:r>
    </w:p>
    <w:p>
      <w:pPr>
        <w:pStyle w:val="BodyText"/>
      </w:pPr>
      <w:r>
        <w:rPr>
          <w:rFonts w:hint="eastAsia"/>
        </w:rPr>
        <w:t xml:space="preserve">强硬对抗策略在个体层面存在，但不是群体的主导特征。以制裁、全面禁止和脱钩为内容的高强制法案集中于少数议员：霍利的人工智能脱钩法案和禁止中国实体购买农地住宅法案、穆尔的禁止中国学生签证法案、哈里根的禁止STEM签证法案、史蒂文斯的禁止中国汽车法案、戈尔登对华最低35%关税法案、冈萨雷斯终止税收协定法案。这7项法案在观察期内均停留在提交委员会阶段，无一获得审议，其中4项无任何联署。相比之下，获得委员会或院会通过的法案全部属于审查型、组织型或技术性修订。高强制法案的功能更多在于立场宣示和为后续立法划定边界，而非在本届国会实现政策转化。</w:t>
      </w:r>
    </w:p>
    <w:p>
      <w:pPr>
        <w:pStyle w:val="BodyText"/>
      </w:pPr>
      <w:r>
        <w:rPr>
          <w:rFonts w:hint="eastAsia"/>
        </w:rPr>
        <w:t xml:space="preserve">主动出击策略表现为创设新机制和新议题的尝试。劳勒的《印太条约组织法》提出评估建立美国与印太盟友集体安全安排的可能性，是观察期内新生代议员提出的最具体系性的安全架构设想；纳恩在金融监管体系内嵌入台海风险评估机制，古登重建司法部专项机构，哈里根将人工智能“蒸馏攻击”纳入国家标准体系，均属于在既有政策领域之外开辟新的制度接口。这类法案的联署人数普遍不多（劳勒的《印太条约组织法》无联署），显示创设新机制需要较长的议题培育期，其价值在于为下一届国会的立法提供文本基础。</w:t>
      </w:r>
    </w:p>
    <w:p>
      <w:pPr>
        <w:pStyle w:val="BodyText"/>
      </w:pPr>
      <w:r>
        <w:rPr>
          <w:rFonts w:hint="eastAsia"/>
        </w:rPr>
        <w:t xml:space="preserve">加码推进策略在观察期内十分普遍，是新生代议员法案最常见的技术形态。奥金克洛斯将第14059号行政令的制裁法典化并指向中国，米勒将1260H清单纳入出口管制法律定义，史蒂文斯扩大第301条授权，米尔斯将小企业管理局援助排除中资关联企业，劳勒和安迪·金将量子技术纳入进出口银行既有的“中国与转型出口计划”，欣森在既有海关执法框架下为中国电子烟设置累进罚款，哈里根在既有的外国投资审查制度内强化对通用航空领域的审查。这些法案不创设新的法律框架，而是在既有法律和行政措施的基础上扩大适用对象、提高处罚力度或增加执行要求，其立法成本低、与行政部门现有政策方向一致，是最有可能通过搭车方式进入大型法案的一类。</w:t>
      </w:r>
    </w:p>
    <w:p>
      <w:pPr>
        <w:pStyle w:val="BodyText"/>
      </w:pPr>
      <w:r>
        <w:rPr>
          <w:rFonts w:hint="eastAsia"/>
        </w:rPr>
        <w:t xml:space="preserve">小切口立法策略是新生代议员区别于资深议员的最显著特征。56项法案中，以单一产品、单一机构、单一程序或单一人群为对象者超过半数，电子烟、《中国日报》、使领馆建筑、经纪商注册、废铝、国际刑警组织、通用航空并购、海底电缆、国会预算办公室名称等均属此类。小切口法案的优势在于针对性强、便于向选民说明、不需要跨委员会协调，也容易通过修正案形式嵌入大型法案；其局限在于单项法案的政策影响有限，需要以数量和持续性弥补。</w:t>
      </w:r>
    </w:p>
    <w:p>
      <w:pPr>
        <w:pStyle w:val="BodyText"/>
      </w:pPr>
      <w:r>
        <w:rPr>
          <w:rFonts w:hint="eastAsia"/>
        </w:rPr>
        <w:t xml:space="preserve">搭车立法策略是观察期内新生代议员实现政策转化的主要渠道。由于新生代议员的独立法案在本届国会无一成法，其政策主张进入法律的途径几乎全部依赖国防授权法等必须通过的大型法案。哈里根17项修正案在军事委员会获得采纳，内容包括禁止中共控制的零售商在军事基地经营、逐步淘汰中国药品原料等；纳恩在众议院版本中获采纳的9项修正案涉及美台防务伙伴关系、禁止国防部使用中国区块链技术、人工智能等。此外，新生代议员联署的多项资深议员法案被并入最终的国防授权法，包括金映玉主提、劳勒联署的《台湾非歧视法》，以及约翰·科宁（John</w:t>
      </w:r>
      <w:r>
        <w:t xml:space="preserve"> </w:t>
      </w:r>
      <w:r>
        <w:rPr>
          <w:rFonts w:hint="eastAsia"/>
        </w:rPr>
        <w:t xml:space="preserve">Cornyn）主提、安迪·金联署的《对华投资限制法》（以《COINS法》名义成为第八十五编）。</w:t>
      </w:r>
      <w:r>
        <w:rPr>
          <w:rStyle w:val="FootnoteReference"/>
        </w:rPr>
        <w:footnoteReference w:id="35"/>
      </w:r>
      <w:r>
        <w:rPr>
          <w:rFonts w:hint="eastAsia"/>
        </w:rPr>
        <w:t xml:space="preserve">这些案例共同表明，对新生代议员而言，“在委员会审议中提出修正案”和“联署可能被并入大型法案的法案”比独立提出法案更能实现政策目标。</w:t>
      </w:r>
    </w:p>
    <w:p>
      <w:pPr>
        <w:pStyle w:val="BodyText"/>
      </w:pPr>
      <w:r>
        <w:rPr>
          <w:rFonts w:hint="eastAsia"/>
        </w:rPr>
        <w:t xml:space="preserve">传播动员策略在本文的资料范围内难以进行系统量化，本文未采集社交媒体数据，相关判断依据议员官网新闻稿和国会记录。从这些资料看，哈里根、纳恩和欣森的办公室对其涉华修正案和法案均发布了专门新闻稿，苏布拉曼尼亚姆在提出《维吾尔强迫劳动披露法》时在院会作了介绍性发言。</w:t>
      </w:r>
      <w:r>
        <w:rPr>
          <w:rStyle w:val="FootnoteReference"/>
        </w:rPr>
        <w:footnoteReference w:id="36"/>
      </w:r>
      <w:r>
        <w:rPr>
          <w:rFonts w:hint="eastAsia"/>
        </w:rPr>
        <w:t xml:space="preserve">涉华立法行动的时间安排与选举周期存在可观察的对应关系：欣森在2026年6月2日参议员初选前一个月提出《终结中国电子烟法》，史蒂文斯在8月4日参议员初选前两个月的同一天提出两项涉华法案，两人均在州级竞选的关键阶段保持了涉华立法的可见度。</w:t>
      </w:r>
    </w:p>
    <w:p>
      <w:pPr>
        <w:pStyle w:val="BodyText"/>
      </w:pPr>
      <w:r>
        <w:rPr>
          <w:rFonts w:hint="eastAsia"/>
        </w:rPr>
        <w:t xml:space="preserve">综合来看，泛安全化、小切口立法、加码推进和搭车立法四种策略可以上升为新生代议员涉华行为的群体性特征；主动出击和强硬对抗则是劳勒、霍利等少数议员的个体特征；传播动员的强度因人而异，与竞选周期的相关性大于与涉华议题本身的相关性。</w:t>
      </w:r>
    </w:p>
    <w:bookmarkEnd w:id="37"/>
    <w:bookmarkStart w:id="38" w:name="一个案筛选原则"/>
    <w:p>
      <w:pPr>
        <w:pStyle w:val="Heading2"/>
      </w:pPr>
      <w:r>
        <w:rPr>
          <w:rFonts w:hint="eastAsia"/>
        </w:rPr>
        <w:t xml:space="preserve">（一）个案筛选原则</w:t>
      </w:r>
    </w:p>
    <w:p>
      <w:pPr>
        <w:pStyle w:val="FirstParagraph"/>
      </w:pPr>
      <w:r>
        <w:rPr>
          <w:rFonts w:hint="eastAsia"/>
        </w:rPr>
        <w:t xml:space="preserve">本文从20名核心议员中选取8人作为个案。筛选依据有三：一是立法活跃度，以观察期内主提涉华法案数量和行动的持续性衡量；二是议程塑造力，以议题创设、合作网络规模和修正案推动情况衡量；三是政策转化力，以法案的委员会推进、院会通过、并入法律和行政部门采纳情况衡量。在此基础上兼顾两院、两党和议题类型的平衡，并纳入主提案数量不居前、但制度位置或议题网络具有代表性的议员。最终选取的8人为：共和党众议员劳勒、纳恩、欣森、哈里根，共和党参议员霍利，民主党众议员苏布拉曼尼亚姆、史蒂文斯，民主党参议员安迪·金。8人合计主提涉华法案24项，占核心样本的53%，联署128人次，占核心样本的63%。</w:t>
      </w:r>
    </w:p>
    <w:bookmarkEnd w:id="38"/>
    <w:bookmarkStart w:id="54" w:name="二个案分析"/>
    <w:p>
      <w:pPr>
        <w:pStyle w:val="Heading2"/>
      </w:pPr>
      <w:r>
        <w:rPr>
          <w:rFonts w:hint="eastAsia"/>
        </w:rPr>
        <w:t xml:space="preserve">（二）个案分析</w:t>
      </w:r>
    </w:p>
    <w:bookmarkStart w:id="40" w:name="迈克尔劳勒michael-lawler以联署网络和架构设想见长的两党合作型议员"/>
    <w:p>
      <w:pPr>
        <w:pStyle w:val="Heading3"/>
      </w:pPr>
      <w:r>
        <w:t xml:space="preserve">1. </w:t>
      </w:r>
      <w:r>
        <w:rPr>
          <w:rFonts w:hint="eastAsia"/>
        </w:rPr>
        <w:t xml:space="preserve">迈克尔·劳勒（Michael</w:t>
      </w:r>
      <w:r>
        <w:t xml:space="preserve"> </w:t>
      </w:r>
      <w:r>
        <w:rPr>
          <w:rFonts w:hint="eastAsia"/>
        </w:rPr>
        <w:t xml:space="preserve">Lawler）：以联署网络和架构设想见长的“两党合作型”议员</w:t>
      </w:r>
    </w:p>
    <w:p>
      <w:pPr>
        <w:pStyle w:val="FirstParagraph"/>
      </w:pPr>
      <w:r>
        <w:rPr>
          <w:rFonts w:hint="eastAsia"/>
        </w:rPr>
        <w:t xml:space="preserve">劳勒1986年9月出生于纽约州萨芬，共和党人，2022年当选纽约州第17选区众议员，2024年连任，现为第二届任期。他2009年以毕业生代表身份毕业于曼哈顿学院，此后长期从事共和党政治工作，曾任纽约州共和党执行主任，2021年至2022年任纽约州众议员。劳勒没有军事、外交或涉华专业背景，进入国会后同时进入外交委员会和金融服务委员会，第二届任期出任外交委员会中东与北非小组委员会主席。其选区位于纽约市北郊，是民主党具有登记优势的摇摆选区，这决定了他在国会中刻意维持“两党合作”的形象，并在第118届国会被“有效立法中心”评为最有效率的共和党新人议员之一。</w:t>
      </w:r>
      <w:r>
        <w:rPr>
          <w:rStyle w:val="FootnoteReference"/>
        </w:rPr>
        <w:footnoteReference w:id="39"/>
      </w:r>
      <w:r>
        <w:rPr>
          <w:rFonts w:hint="eastAsia"/>
        </w:rPr>
        <w:t xml:space="preserve">在与特朗普政府的关系上，劳勒在移民、国家安全等议题上支持白宫，在州和地方税收抵扣等涉及选区利益的议题上与党内领导层反复博弈。</w:t>
      </w:r>
    </w:p>
    <w:p>
      <w:pPr>
        <w:pStyle w:val="BodyText"/>
      </w:pPr>
      <w:r>
        <w:rPr>
          <w:rFonts w:hint="eastAsia"/>
        </w:rPr>
        <w:t xml:space="preserve">观察期内，劳勒主提涉华法案4项，联署53项（其中9项为原始联署人），未提出涉华修正案。4项法案分别是：2025年6月4日提出的《印太条约组织法》，要求总统设立工作组评估中国和朝鲜的行为及印太安全形势，并研究美国与印太盟友建立集体安全安排的可行性；2026年4月2日提出的《关键海底基础设施韧性倡议法》，针对中国在台湾周边的灰色地带行动，建立保护台湾海底电缆等关键基础设施的专项机制；2026年5月26日提出的《中国经纪商与投资顾问暂停法》，禁止与中国有特定关联的经纪商和投资顾问在证券交易委员会注册；2026年7月2日提出的《推进美国量子领导力法》，将量子技术纳入进出口银行“中国与转型出口计划”，安迪·金于6月18日在参议院提出了配套法案。4项法案均停留在委员会阶段，其中《印太条约组织法》无任何联署，其余3项的联署人均包含民主党议员。</w:t>
      </w:r>
    </w:p>
    <w:p>
      <w:pPr>
        <w:pStyle w:val="BodyText"/>
      </w:pPr>
      <w:r>
        <w:rPr>
          <w:rFonts w:hint="eastAsia"/>
        </w:rPr>
        <w:t xml:space="preserve">劳勒的高频议题是印太安全架构、台湾和金融监管，政策工具以组织建设型和限制型为主。其联署网络是基础样本中最大的，53项联署法案中有12项由民主党议员主提，涵盖台湾（《台湾保证实施法》《台湾非歧视法》《六项保证法》《威慑中国对台侵略法》）、人权（天安门事件纪念决议、达赖喇嘛生日决议、西藏法案）、出口管制（《MATCH法》《半导体管制有效性法》）、芬太尼和农地等几乎全部涉华议题类别。在政策转化方面，劳勒本人的法案无一进入审议，但其联署的《台湾保证实施法》于2025年12月2日成为第119-45号公法，《台湾非歧视法》于2025年6月获众议院通过后并入2026财年国防授权法，《阻止中国芬太尼法》获众议院通过。</w:t>
      </w:r>
    </w:p>
    <w:p>
      <w:pPr>
        <w:pStyle w:val="BodyText"/>
      </w:pPr>
      <w:r>
        <w:rPr>
          <w:rFonts w:hint="eastAsia"/>
        </w:rPr>
        <w:t xml:space="preserve">劳勒的政治风格可以概括为“广泛参与、架构设想、低冲突表达”。他很少使用“中共”等高强度指称，法案标题多以“韧性”“领导力”“倡议”为关键词；其最具雄心的《印太条约组织法》在观察期内未获任何联署，说明以新人身份提出体系性安全架构的难度。截至2026年10月，劳勒正面临激烈的连任选举，其主提涉华法案在2026年7月后暂停，联署活动延续至8月；若成功连任并进入第三届任期，其在外交委员会的资历将使其具备推动台湾和印太议题进入审议的条件。</w:t>
      </w:r>
    </w:p>
    <w:bookmarkEnd w:id="40"/>
    <w:bookmarkStart w:id="42" w:name="扎卡里纳恩zachary-nunn以金融安全交叉议题为特色的机制设计型议员"/>
    <w:p>
      <w:pPr>
        <w:pStyle w:val="Heading3"/>
      </w:pPr>
      <w:r>
        <w:t xml:space="preserve">2. </w:t>
      </w:r>
      <w:r>
        <w:rPr>
          <w:rFonts w:hint="eastAsia"/>
        </w:rPr>
        <w:t xml:space="preserve">扎卡里·纳恩（Zachary</w:t>
      </w:r>
      <w:r>
        <w:t xml:space="preserve"> </w:t>
      </w:r>
      <w:r>
        <w:rPr>
          <w:rFonts w:hint="eastAsia"/>
        </w:rPr>
        <w:t xml:space="preserve">Nunn）：以金融—安全交叉议题为特色的“机制设计型”议员</w:t>
      </w:r>
    </w:p>
    <w:p>
      <w:pPr>
        <w:pStyle w:val="FirstParagraph"/>
      </w:pPr>
      <w:r>
        <w:rPr>
          <w:rFonts w:hint="eastAsia"/>
        </w:rPr>
        <w:t xml:space="preserve">纳恩1979年5月出生，共和党人，2022年当选艾奥瓦州第3选区众议员，2024年连任，2026年6月再次获得党内提名。他毕业于德雷克大学，后在剑桥大学获硕士学位，是美国空军情报军官，拥有700余小时作战飞行记录，曾在国家安全委员会担任网络安全政策主任，现为空军预备役上校。进入国会前，他于2015年至2019年任艾奥瓦州众议员，2019年至2023年任州参议员。在国会中，纳恩任金融服务委员会国家安全、非法金融与国际金融机构小组委员会副主席，同时是农业委员会、中国问题特设委员会和国会—行政部门中国委员会成员，是基础样本中涉华制度资源最为完整的议员之一。其选区是两党竞争激烈的摇摆选区，纳恩在涉华议题上的立场与白宫一致，但在农业贸易问题上对关税的态度较为谨慎。</w:t>
      </w:r>
    </w:p>
    <w:p>
      <w:pPr>
        <w:pStyle w:val="BodyText"/>
      </w:pPr>
      <w:r>
        <w:rPr>
          <w:rFonts w:hint="eastAsia"/>
        </w:rPr>
        <w:t xml:space="preserve">观察期内，纳恩主提涉华法案3项，联署20项（11项为原始联署人），在2026财年国防授权法众议院审议中有9项修正案获得采纳。3项法案分别是：2025年5月5日提出的《巩固美国市场免受中国军事侵略法》，要求在金融稳定监督委员会下设立“中国对台军事侵略经济后果咨询委员会”，评估台海冲突对美国金融体系的冲击，该法案获18名议员联署，其中民主党6人，托雷斯、劳勒等基础样本成员均在其列；2025年7月17日提出的《抵消中国不公平出口补贴法》，要求美国与盟友合作推动中国遵守经合组织出口信贷标准；2025年8月1日提出的《美台国防创新伙伴关系法》，建立美台在国防技术领域的合作机制，6名联署人中4人为民主党人，欣森为原始联署人。纳恩在国防授权法众议院审议中获采纳的修正案涉及美台防务伙伴关系、禁止国防部使用中国区块链技术和人工智能相关内容，是其独立法案无法进入审议情况下的替代性推进渠道。</w:t>
      </w:r>
      <w:r>
        <w:rPr>
          <w:rStyle w:val="FootnoteReference"/>
        </w:rPr>
        <w:footnoteReference w:id="41"/>
      </w:r>
    </w:p>
    <w:p>
      <w:pPr>
        <w:pStyle w:val="BodyText"/>
      </w:pPr>
      <w:r>
        <w:rPr>
          <w:rFonts w:hint="eastAsia"/>
        </w:rPr>
        <w:t xml:space="preserve">纳恩的高频议题是台湾、金融安全和农业安全，政策工具以组织建设型和审查型为主。其联署网络体现出明显的跨党派特征：20项联署中有7项为民主党议员主提的法案，包括苏布拉曼尼亚姆的两项新疆法案（均为原始联署人）、拉贾·克里希纳穆尔蒂（Raja</w:t>
      </w:r>
      <w:r>
        <w:t xml:space="preserve"> </w:t>
      </w:r>
      <w:r>
        <w:rPr>
          <w:rFonts w:hint="eastAsia"/>
        </w:rPr>
        <w:t xml:space="preserve">Krishnamoorthi）的《六项保证法》、阿米·贝拉（Ami</w:t>
      </w:r>
      <w:r>
        <w:t xml:space="preserve"> </w:t>
      </w:r>
      <w:r>
        <w:rPr>
          <w:rFonts w:hint="eastAsia"/>
        </w:rPr>
        <w:t xml:space="preserve">Bera）的《矿产安全伙伴关系授权法》；同时他也是《恢复与台湾正常外交关系》共同决议的原始联署人，该决议是观察期内在台湾问题上立场最激进的文本之一。在政策转化方面，纳恩3项独立法案均未进入审议，但其修正案已成为2026财年国防授权法众议院版本的组成部分，最终法律中关于台湾安全合作的条款与其法案方向一致。</w:t>
      </w:r>
    </w:p>
    <w:p>
      <w:pPr>
        <w:pStyle w:val="BodyText"/>
      </w:pPr>
      <w:r>
        <w:rPr>
          <w:rFonts w:hint="eastAsia"/>
        </w:rPr>
        <w:t xml:space="preserve">纳恩的政治风格是“专业化、跨党派、机制导向”。他倾向于将台海风险转化为金融监管、国防采购等专业领域的具体机制，法案文本的技术性强，便于在委员会层面获得两党支持。作为同时任职于三个涉华相关委员会的议员，纳恩是新生代议员中最有条件将涉华议题从表态推向制度化的人选之一。其制约因素在于选区的脆弱性：若在2026年11月失去席位，其涉华议程将随之中断。</w:t>
      </w:r>
    </w:p>
    <w:bookmarkEnd w:id="42"/>
    <w:bookmarkStart w:id="45" w:name="阿什利欣森ashley-hinson从众议院走向参议院的农业安全型议员"/>
    <w:p>
      <w:pPr>
        <w:pStyle w:val="Heading3"/>
      </w:pPr>
      <w:r>
        <w:t xml:space="preserve">3. </w:t>
      </w:r>
      <w:r>
        <w:rPr>
          <w:rFonts w:hint="eastAsia"/>
        </w:rPr>
        <w:t xml:space="preserve">阿什利·欣森（Ashley</w:t>
      </w:r>
      <w:r>
        <w:t xml:space="preserve"> </w:t>
      </w:r>
      <w:r>
        <w:rPr>
          <w:rFonts w:hint="eastAsia"/>
        </w:rPr>
        <w:t xml:space="preserve">Hinson）：从众议院走向参议院的“农业—安全型”议员</w:t>
      </w:r>
    </w:p>
    <w:p>
      <w:pPr>
        <w:pStyle w:val="FirstParagraph"/>
      </w:pPr>
      <w:r>
        <w:rPr>
          <w:rFonts w:hint="eastAsia"/>
        </w:rPr>
        <w:t xml:space="preserve">欣森1983年6月出生，共和党人，2020年当选艾奥瓦州第2选区（原第1选区）众议员，2022年、2024年连任。她毕业于南加州大学，曾任锡达拉皮兹KCRG电视台新闻主播，2017年至2021年任艾奥瓦州众议员。在国会中，欣森任拨款委员会委员、中国问题特设委员会委员和道德委员会委员。2026年6月2日，她以约74%的得票率赢得共和党联邦参议员初选，将在11月与民主党候选人乔什·图雷克（Josh</w:t>
      </w:r>
      <w:r>
        <w:t xml:space="preserve"> </w:t>
      </w:r>
      <w:r>
        <w:rPr>
          <w:rFonts w:hint="eastAsia"/>
        </w:rPr>
        <w:t xml:space="preserve">Turek）竞争退休参议员乔妮·恩斯特（Joni</w:t>
      </w:r>
      <w:r>
        <w:t xml:space="preserve"> </w:t>
      </w:r>
      <w:r>
        <w:rPr>
          <w:rFonts w:hint="eastAsia"/>
        </w:rPr>
        <w:t xml:space="preserve">Ernst）留下的席位。</w:t>
      </w:r>
      <w:r>
        <w:rPr>
          <w:rStyle w:val="FootnoteReference"/>
        </w:rPr>
        <w:footnoteReference w:id="43"/>
      </w:r>
      <w:r>
        <w:rPr>
          <w:rFonts w:hint="eastAsia"/>
        </w:rPr>
        <w:t xml:space="preserve">欣森与特朗普政府关系密切，在涉华议题上的立场与白宫高度一致。</w:t>
      </w:r>
    </w:p>
    <w:p>
      <w:pPr>
        <w:pStyle w:val="BodyText"/>
      </w:pPr>
      <w:r>
        <w:rPr>
          <w:rFonts w:hint="eastAsia"/>
        </w:rPr>
        <w:t xml:space="preserve">观察期内，欣森主提涉华法案3项，联署11项（6项为原始联署人）。3项法案分别是：2025年3月10日提出的《保障美国农业安全法》，要求农业部每年评估美国对中国关键农业投入品（包括农场管理软件等）的依赖程度，并提出降低依赖的建议，该法案获18名议员联署，其中民主党5人，中国问题特设委员会首席民主党成员克里希纳穆尔蒂为共同提案人，参议院配套法案由皮特·里基茨（Pete</w:t>
      </w:r>
      <w:r>
        <w:t xml:space="preserve"> </w:t>
      </w:r>
      <w:r>
        <w:rPr>
          <w:rFonts w:hint="eastAsia"/>
        </w:rPr>
        <w:t xml:space="preserve">Ricketts）和伊莉莎·斯洛特金（Elissa</w:t>
      </w:r>
      <w:r>
        <w:t xml:space="preserve"> </w:t>
      </w:r>
      <w:r>
        <w:rPr>
          <w:rFonts w:hint="eastAsia"/>
        </w:rPr>
        <w:t xml:space="preserve">Slotkin）提出；2025年3月14日提出的《驱逐非法中国警察法》，要求对在美设立“海外警察站”相关的中国执法人员及其家属实施签证制裁，8名联署人全部为共和党人；2026年5月7日提出的《终结中国电子烟法》，对走私中国电子烟设置累进民事罚款。此外，欣森于2025年3月5日提出的《保护美国产业和劳工免受国际贸易犯罪法》要求司法部刑事司设立打击贸易犯罪的专项机构并每年向国会报告。该法案文本未提及中国，但欣森在院会发言中明确表示该法案旨在“让中国为数十年来通过转运、逃避关税和强迫劳动规避美国贸易法的行为负责”，共同提案人克里希纳穆尔蒂则说明该法案是将特朗普政府2025年在司法部设立的“贸易欺诈工作组”法典化。该法案于2026年6月3日以23票对0票获司法委员会通过，8月31日以口头表决方式获众议院通过，共有44名议员联署，其中民主党27人。</w:t>
      </w:r>
      <w:r>
        <w:rPr>
          <w:rStyle w:val="FootnoteReference"/>
        </w:rPr>
        <w:footnoteReference w:id="44"/>
      </w:r>
    </w:p>
    <w:p>
      <w:pPr>
        <w:pStyle w:val="BodyText"/>
      </w:pPr>
      <w:r>
        <w:rPr>
          <w:rFonts w:hint="eastAsia"/>
        </w:rPr>
        <w:t xml:space="preserve">欣森的高频议题是农业安全、影响力渗透和贸易执法，政策工具以审查型、制裁型和限制型为主。其联署集中于农地（丹·纽豪斯〔Dan</w:t>
      </w:r>
      <w:r>
        <w:t xml:space="preserve"> </w:t>
      </w:r>
      <w:r>
        <w:rPr>
          <w:rFonts w:hint="eastAsia"/>
        </w:rPr>
        <w:t xml:space="preserve">Newhouse〕两项法案的原始联署人）、台湾（纳恩的美台国防创新法案、重申《与台湾关系法》决议的原始联署人）和教育（《关键共产主义教学法》）。在政策转化方面，欣森3项涉华法案均未进入审议，但其贸易犯罪法案已获众议院通过并于9月14日送交参议院，是基础样本成员主提法案中推进最远的一项。</w:t>
      </w:r>
    </w:p>
    <w:p>
      <w:pPr>
        <w:pStyle w:val="BodyText"/>
      </w:pPr>
      <w:r>
        <w:rPr>
          <w:rFonts w:hint="eastAsia"/>
        </w:rPr>
        <w:t xml:space="preserve">欣森的政治风格是“选区利益与国家安全叙事相结合、传播导向明显”。她将艾奥瓦州农业对中国市场和投入品的依赖转化为“中国武器化依赖”的安全叙事，同时以“海外警察站”“中国电子烟”等高辨识度议题维持公众关注。若其在2026年11月当选参议员，将成为参议院最年轻的成员之一，其涉华议程将获得更大的制度空间。</w:t>
      </w:r>
    </w:p>
    <w:bookmarkEnd w:id="45"/>
    <w:bookmarkStart w:id="47" w:name="帕特哈里根pat-harrigan以军事委员会修正案为主要渠道的一线军人型议员"/>
    <w:p>
      <w:pPr>
        <w:pStyle w:val="Heading3"/>
      </w:pPr>
      <w:r>
        <w:t xml:space="preserve">4. </w:t>
      </w:r>
      <w:r>
        <w:rPr>
          <w:rFonts w:hint="eastAsia"/>
        </w:rPr>
        <w:t xml:space="preserve">帕特·哈里根（Pat</w:t>
      </w:r>
      <w:r>
        <w:t xml:space="preserve"> </w:t>
      </w:r>
      <w:r>
        <w:rPr>
          <w:rFonts w:hint="eastAsia"/>
        </w:rPr>
        <w:t xml:space="preserve">Harrigan）：以军事委员会修正案为主要渠道的“一线军人型”议员</w:t>
      </w:r>
    </w:p>
    <w:p>
      <w:pPr>
        <w:pStyle w:val="FirstParagraph"/>
      </w:pPr>
      <w:r>
        <w:rPr>
          <w:rFonts w:hint="eastAsia"/>
        </w:rPr>
        <w:t xml:space="preserve">哈里根1987年6月出生，共和党人，2024年当选北卡罗来纳州第10选区众议员，是观察期内首次进入国会的新人。他2009年毕业于西点军校核工程专业，先后在第25步兵师和第3特种作战大队服役，两次赴阿富汗作战并获铜星勋章，退役后创办枪械企业。2022年他在北卡罗来纳州第14选区竞选失利，2024年转战第10选区当选。在国会中，哈里根任军事委员会和科学、空间与技术委员会委员，没有小组委员会职务。其选区为共和党安全选区，哈里根与特朗普政府立场一致。</w:t>
      </w:r>
    </w:p>
    <w:p>
      <w:pPr>
        <w:pStyle w:val="BodyText"/>
      </w:pPr>
      <w:r>
        <w:rPr>
          <w:rFonts w:hint="eastAsia"/>
        </w:rPr>
        <w:t xml:space="preserve">观察期内，哈里根主提涉华法案4项，联署18项（5项为原始联署人），并在军事委员会2026财年国防授权法审议中提出18项修正案，17项获得采纳。4项法案分别是：2025年12月5日提出的《保障STEM安全法》，禁止向中国等国国民签发STEM领域学生签证；2026年3月9日提出的《台湾能源安全与反封锁法》，针对台湾能源进口在封锁情形下的脆弱性建立评估和援助机制，5名联署人中包括劳勒（原始联署人）、埃文斯和2名民主党人；2026年7月15日提出的《通用航空保护法》，强化对外国对手投资通用航空领域的审查；2026年10月22日提出的《人工智能网络防御法》，要求国家标准与技术研究院就受关注国实体针对美国模型的“蒸馏攻击”制定标准。此外，他于2025年4月提出的《军事设施零售安全法》禁止中共控制的零售商在军事基地经营，获22名共和党议员联署，其中吉尔、埃文斯、古登、哈马德、穆尔、欣森等多名新生代议员在列；2026年6月提出的《美国无人机制造主导地位法》针对中国无人机。这两项法案文本以“外国对手”统称而未直接点名中国，未计入涉华法案统计。</w:t>
      </w:r>
      <w:r>
        <w:rPr>
          <w:rStyle w:val="FootnoteReference"/>
        </w:rPr>
        <w:footnoteReference w:id="46"/>
      </w:r>
    </w:p>
    <w:p>
      <w:pPr>
        <w:pStyle w:val="BodyText"/>
      </w:pPr>
      <w:r>
        <w:rPr>
          <w:rFonts w:hint="eastAsia"/>
        </w:rPr>
        <w:t xml:space="preserve">哈里根的高频议题是军事设施安全、台湾、供应链和人才流动，政策工具以限制型和审查型为主。在军事委员会审议中获采纳的修正案包括禁止中共控制的零售商在基地经营、逐步淘汰国防部采购药品中的中国原料等，这些内容与其独立法案一脉相承。其联署网络以共和党为主，但他是民主党新人陈的《打击中共影响力法》的原始联署人。在政策转化方面，哈里根4项涉华法案均未进入审议，但其修正案已进入2026财年国防授权法的众议院版本，是观察期内通过修正案渠道实现政策内容落地最多的新生代议员。</w:t>
      </w:r>
    </w:p>
    <w:p>
      <w:pPr>
        <w:pStyle w:val="BodyText"/>
      </w:pPr>
      <w:r>
        <w:rPr>
          <w:rFonts w:hint="eastAsia"/>
        </w:rPr>
        <w:t xml:space="preserve">哈里根的政治风格是“以军人身份为依托、以军事基地和军人家庭为切口、以修正案为主要工具”。他在观察期内保持了稳定的涉华立法节奏，从2025年4月至2026年10月每隔数月即有新的法案或修正案，且议题从军事设施逐步扩展至台湾、人工智能和投资审查，显示出明显的议题扩张趋势。作为新人，哈里根已表现出将军事委员会席位转化为涉华议程平台的能力，若在2027财年国防授权法审议中延续这一模式，将成为新生代议员中军事安全领域的代表性人物。</w:t>
      </w:r>
    </w:p>
    <w:bookmarkEnd w:id="47"/>
    <w:bookmarkStart w:id="48" w:name="乔什霍利josh-hawley以强硬脱钩法案为标志的民粹民族主义型参议员"/>
    <w:p>
      <w:pPr>
        <w:pStyle w:val="Heading3"/>
      </w:pPr>
      <w:r>
        <w:t xml:space="preserve">5. </w:t>
      </w:r>
      <w:r>
        <w:rPr>
          <w:rFonts w:hint="eastAsia"/>
        </w:rPr>
        <w:t xml:space="preserve">乔什·霍利（Josh</w:t>
      </w:r>
      <w:r>
        <w:t xml:space="preserve"> </w:t>
      </w:r>
      <w:r>
        <w:rPr>
          <w:rFonts w:hint="eastAsia"/>
        </w:rPr>
        <w:t xml:space="preserve">Hawley）：以强硬脱钩法案为标志的“民粹—民族主义型”参议员</w:t>
      </w:r>
    </w:p>
    <w:p>
      <w:pPr>
        <w:pStyle w:val="FirstParagraph"/>
      </w:pPr>
      <w:r>
        <w:rPr>
          <w:rFonts w:hint="eastAsia"/>
        </w:rPr>
        <w:t xml:space="preserve">霍利1979年12月出生，共和党人，2018年当选密苏里州联邦参议员，2024年连任，在基准日恰好年满45岁且累计任职6年，处于本文新生代界定的边界上。他毕业于斯坦福大学和耶鲁大学法学院，2017年至2019年任密苏里州总检察长。在参议院，霍利任司法委员会犯罪与反恐小组委员会主席，同时是卫生、教育、劳工与养老金委员会，国土安全与政府事务委员会和小企业委员会委员。霍利是共和党内“民粹—民族主义”路线的代表人物，在对华议题上与白宫立场一致，但在大型科技企业监管、劳工权利等议题上与共和党领导层和白宫存在分歧。</w:t>
      </w:r>
    </w:p>
    <w:p>
      <w:pPr>
        <w:pStyle w:val="BodyText"/>
      </w:pPr>
      <w:r>
        <w:rPr>
          <w:rFonts w:hint="eastAsia"/>
        </w:rPr>
        <w:t xml:space="preserve">观察期内，霍利主提涉华法案3项，联署5项（4项为原始联署人），均集中于2025年。3项法案分别是：2025年1月29日提出的《美国人工智能能力与中国脱钩法》，禁止美国人推进中国境内的人工智能能力，并限制人工智能技术的进出口，是观察期内国会提出的最为彻底的人工智能脱钩法案；2025年2月25日提出的《选择时刻法》，禁止同时为中国政府、中共、解放军等“涵盖外国实体”和美国政府提供咨询服务的企业获得联邦合同，获两党4名参议员联署，众议院配套法案由新生代议员罗伯特·布雷斯纳汉（Robert</w:t>
      </w:r>
      <w:r>
        <w:t xml:space="preserve"> </w:t>
      </w:r>
      <w:r>
        <w:rPr>
          <w:rFonts w:hint="eastAsia"/>
        </w:rPr>
        <w:t xml:space="preserve">Bresnahan）提出；2025年7月10日提出的《保护我们的农场和住宅免受中国侵害法》，禁止特定中国实体购买美国农地和住宅，众议院配套法案由玛丽·米勒（Mary</w:t>
      </w:r>
      <w:r>
        <w:t xml:space="preserve"> </w:t>
      </w:r>
      <w:r>
        <w:rPr>
          <w:rFonts w:hint="eastAsia"/>
        </w:rPr>
        <w:t xml:space="preserve">Miller）提出并获哈里根原始联署。其联署的5项法案均为共和党参议员主提，包括汤姆·科顿（Tom</w:t>
      </w:r>
      <w:r>
        <w:t xml:space="preserve"> </w:t>
      </w:r>
      <w:r>
        <w:rPr>
          <w:rFonts w:hint="eastAsia"/>
        </w:rPr>
        <w:t xml:space="preserve">Cotton）的《恢复贸易公平法》（撤销对华永久正常贸易关系）、约翰·巴拉索（John</w:t>
      </w:r>
      <w:r>
        <w:t xml:space="preserve"> </w:t>
      </w:r>
      <w:r>
        <w:rPr>
          <w:rFonts w:hint="eastAsia"/>
        </w:rPr>
        <w:t xml:space="preserve">Barrasso）的《终止对华贷款法》和里克·斯科特（Rick</w:t>
      </w:r>
      <w:r>
        <w:t xml:space="preserve"> </w:t>
      </w:r>
      <w:r>
        <w:rPr>
          <w:rFonts w:hint="eastAsia"/>
        </w:rPr>
        <w:t xml:space="preserve">Scott）的《让中国远离太阳能法》。</w:t>
      </w:r>
    </w:p>
    <w:p>
      <w:pPr>
        <w:pStyle w:val="BodyText"/>
      </w:pPr>
      <w:r>
        <w:rPr>
          <w:rFonts w:hint="eastAsia"/>
        </w:rPr>
        <w:t xml:space="preserve">霍利的高频议题是人工智能、咨询业利益冲突和农地住宅，政策工具以限制型和管制型为主，是核心样本中唯一以管制型工具为主要手段的议员。在政策转化方面，其3项法案均停留在委员会阶段，《脱钩法》和《农场住宅法》无任何联署。霍利的涉华行动在2025年7月后停止，此后其立法重心转向国内经济和社会议题。</w:t>
      </w:r>
    </w:p>
    <w:p>
      <w:pPr>
        <w:pStyle w:val="BodyText"/>
      </w:pPr>
      <w:r>
        <w:rPr>
          <w:rFonts w:hint="eastAsia"/>
        </w:rPr>
        <w:t xml:space="preserve">霍利的政治风格是“最大化立场宣示、不以通过为目标”。其法案多以无联署、无配套审议的形式出现，内容远超当前共和党主流的政策边界，功能在于为共和党内的对华强硬派划定话语上限。与众议院新生代议员普遍采用的小切口和跨党派策略相比，霍利代表了新生代议员中以个人品牌为中心、不依赖委员会程序的另一种行动模式。鉴于其2024年刚刚连任、任期至2031年，霍利将是新生代参议员中涉华立场最持久的强硬声音，但其法案在本届国会进入审议的可能性很低。</w:t>
      </w:r>
    </w:p>
    <w:bookmarkEnd w:id="48"/>
    <w:bookmarkStart w:id="49" w:name="Xa76da1636a0471fef6eb5ce9c617bbd4abb2c8d"/>
    <w:p>
      <w:pPr>
        <w:pStyle w:val="Heading3"/>
      </w:pPr>
      <w:r>
        <w:t xml:space="preserve">6. </w:t>
      </w:r>
      <w:r>
        <w:rPr>
          <w:rFonts w:hint="eastAsia"/>
        </w:rPr>
        <w:t xml:space="preserve">苏哈斯·苏布拉曼尼亚姆（Suhas</w:t>
      </w:r>
      <w:r>
        <w:t xml:space="preserve"> </w:t>
      </w:r>
      <w:r>
        <w:rPr>
          <w:rFonts w:hint="eastAsia"/>
        </w:rPr>
        <w:t xml:space="preserve">Subramanyam）：以新疆议题为中心的“人权—金融型”议员</w:t>
      </w:r>
    </w:p>
    <w:p>
      <w:pPr>
        <w:pStyle w:val="FirstParagraph"/>
      </w:pPr>
      <w:r>
        <w:rPr>
          <w:rFonts w:hint="eastAsia"/>
        </w:rPr>
        <w:t xml:space="preserve">苏布拉曼尼亚姆1986年9月出生于休斯敦，印度裔，民主党人，2024年当选弗吉尼亚州第10选区众议员，是观察期内首次进入国会的新人。他毕业于杜兰大学和西北大学法学院，2015年至2017年在奥巴马白宫担任科技政策顾问，2020年至2024年任弗吉尼亚州众议员，2024年至2025年任州参议员。在国会中，他任科学、空间与技术委员会、监督与政府改革委员会和道德委员会委员，并以新人身份出任监督委员会军事与外交事务小组委员会首席民主党成员。其选区位于弗吉尼亚州北部，是民主党安全选区，聚集了大量联邦雇员、国防承包商和数据中心。作为民主党人，苏布拉曼尼亚姆在监督委员会中是特朗普政府的批评者。</w:t>
      </w:r>
    </w:p>
    <w:p>
      <w:pPr>
        <w:pStyle w:val="BodyText"/>
      </w:pPr>
      <w:r>
        <w:rPr>
          <w:rFonts w:hint="eastAsia"/>
        </w:rPr>
        <w:t xml:space="preserve">观察期内，苏布拉曼尼亚姆主提涉华法案3项，联署5项（2项为原始联署人）。3项法案全部围绕新疆强迫劳动展开：2025年3月25日提出的《维吾尔人权保护法》，将新疆居民列为P-2类优先难民，获19名议员联署，其中共和党3人（包括纳恩），外交委员会首席民主党成员格雷戈里·米克斯（Gregory</w:t>
      </w:r>
      <w:r>
        <w:t xml:space="preserve"> </w:t>
      </w:r>
      <w:r>
        <w:rPr>
          <w:rFonts w:hint="eastAsia"/>
        </w:rPr>
        <w:t xml:space="preserve">Meeks）、特设委员会首席民主党成员克里希纳穆尔蒂在列，该法案系接续其前任、同选区众议员珍妮弗·韦克斯顿（Jennifer</w:t>
      </w:r>
      <w:r>
        <w:t xml:space="preserve"> </w:t>
      </w:r>
      <w:r>
        <w:rPr>
          <w:rFonts w:hint="eastAsia"/>
        </w:rPr>
        <w:t xml:space="preserve">Wexton）2023年提出的同名法案；2026年2月11日提出的《禁止资金用于强迫劳动法》，指示美国在国际金融机构的代表反对涉及强迫劳动的项目，获13名议员联署，其中共和党4人（包括纳恩为原始联署人）；2026年5月7日提出的《维吾尔强迫劳动披露法》，要求上市公司披露涉新疆业务，获13名议员联署，包括南希·佩洛西（Nancy</w:t>
      </w:r>
      <w:r>
        <w:t xml:space="preserve"> </w:t>
      </w:r>
      <w:r>
        <w:rPr>
          <w:rFonts w:hint="eastAsia"/>
        </w:rPr>
        <w:t xml:space="preserve">Pelosi）、吉姆·麦戈文（Jim</w:t>
      </w:r>
      <w:r>
        <w:t xml:space="preserve"> </w:t>
      </w:r>
      <w:r>
        <w:rPr>
          <w:rFonts w:hint="eastAsia"/>
        </w:rPr>
        <w:t xml:space="preserve">McGovern）等资深民主党人和共和党人纳撒尼尔·莫兰（Nathaniel</w:t>
      </w:r>
      <w:r>
        <w:t xml:space="preserve"> </w:t>
      </w:r>
      <w:r>
        <w:rPr>
          <w:rFonts w:hint="eastAsia"/>
        </w:rPr>
        <w:t xml:space="preserve">Moran），他于5月14日在院会就该法案作了介绍性发言。其联署的5项法案包括《MATCH法》（原始联署人）、《西藏未来保障法》和关于联合国第2758号决议的决议。</w:t>
      </w:r>
    </w:p>
    <w:p>
      <w:pPr>
        <w:pStyle w:val="BodyText"/>
      </w:pPr>
      <w:r>
        <w:rPr>
          <w:rFonts w:hint="eastAsia"/>
        </w:rPr>
        <w:t xml:space="preserve">苏布拉曼尼亚姆的高频议题是人权，政策工具以资源投入型、限制型和审查型为主，其特点在于将人权议题嵌入难民、国际金融机构和证券监管三个不同的制度接口，而非以谴责性决议的形式表达。在政策转化方面，3项法案均未进入审议，但其联署网络跨越两党并包含委员会首席成员，为下一届国会的推进保留了基础。</w:t>
      </w:r>
    </w:p>
    <w:p>
      <w:pPr>
        <w:pStyle w:val="BodyText"/>
      </w:pPr>
      <w:r>
        <w:rPr>
          <w:rFonts w:hint="eastAsia"/>
        </w:rPr>
        <w:t xml:space="preserve">苏布拉曼尼亚姆的政治风格是“议题专注、制度嵌入、跨党派合作”。他是核心样本中议题最为单一的议员，3项法案在14个月内围绕同一主题形成递进：从难民接收到国际金融机构投票，再到上市公司披露，制度覆盖面逐步扩大。他与共和党人纳恩在两项法案上的合作，是观察期内民主党新人与共和党新生代议员在人权议题上合作的典型。作为新人，其在本届国会推动法案进入审议的可能性有限，但其所延续的新疆议题在国会中具有稳定的两党基础，是民主党新生代议员最有可能在少数党地位下持续推进的涉华议题之一。</w:t>
      </w:r>
    </w:p>
    <w:bookmarkEnd w:id="49"/>
    <w:bookmarkStart w:id="51" w:name="黑利史蒂文斯haley-stevens以汽车产业为中心的产业保护型议员"/>
    <w:p>
      <w:pPr>
        <w:pStyle w:val="Heading3"/>
      </w:pPr>
      <w:r>
        <w:t xml:space="preserve">7. </w:t>
      </w:r>
      <w:r>
        <w:rPr>
          <w:rFonts w:hint="eastAsia"/>
        </w:rPr>
        <w:t xml:space="preserve">黑利·史蒂文斯（Haley</w:t>
      </w:r>
      <w:r>
        <w:t xml:space="preserve"> </w:t>
      </w:r>
      <w:r>
        <w:rPr>
          <w:rFonts w:hint="eastAsia"/>
        </w:rPr>
        <w:t xml:space="preserve">Stevens）：以汽车产业为中心的“产业保护型”议员</w:t>
      </w:r>
    </w:p>
    <w:p>
      <w:pPr>
        <w:pStyle w:val="FirstParagraph"/>
      </w:pPr>
      <w:r>
        <w:rPr>
          <w:rFonts w:hint="eastAsia"/>
        </w:rPr>
        <w:t xml:space="preserve">史蒂文斯1983年6月出生，民主党人，2018年当选密歇根州第11选区众议员，此后三次连任，现为第四届任期。她毕业于美利坚大学，曾在奥巴马政府财政部汽车业工作组任幕僚长，参与2009年汽车业救助。在国会中，她任科学、空间与技术委员会研究与技术小组委员会首席民主党成员、教育与劳动力委员会委员和中国问题特设委员会委员。其选区位于底特律北郊的奥克兰县，是美国汽车产业的研发中心。2026年8月4日，史蒂文斯在密歇根州民主党联邦参议员初选中以47.55%对48.45%的得票率败于阿卜杜勒·赛义德（Abdul</w:t>
      </w:r>
      <w:r>
        <w:t xml:space="preserve"> </w:t>
      </w:r>
      <w:r>
        <w:rPr>
          <w:rFonts w:hint="eastAsia"/>
        </w:rPr>
        <w:t xml:space="preserve">El-Sayed），将于2027年1月离开国会。</w:t>
      </w:r>
      <w:r>
        <w:rPr>
          <w:rStyle w:val="FootnoteReference"/>
        </w:rPr>
        <w:footnoteReference w:id="50"/>
      </w:r>
      <w:r>
        <w:rPr>
          <w:rFonts w:hint="eastAsia"/>
        </w:rPr>
        <w:t xml:space="preserve">作为民主党人，史蒂文斯在关税等议题上批评特朗普政府，但在对中国汽车的限制上与白宫立场接近。</w:t>
      </w:r>
    </w:p>
    <w:p>
      <w:pPr>
        <w:pStyle w:val="BodyText"/>
      </w:pPr>
      <w:r>
        <w:rPr>
          <w:rFonts w:hint="eastAsia"/>
        </w:rPr>
        <w:t xml:space="preserve">观察期内，史蒂文斯主提涉华法案3项，联署4项（3项为原始联署人）。3项法案分别是：2025年7月23日提出的《禁止中国汽车法》，修改《1974年贸易法》第301条的授权以阻止中国汽车进入美国市场；2026年6月4日同日提出的《保护美国免受中国汽车侵害法》，禁止与外国对手相关的联网汽车入境，以及《安全铝供应链法》，要求国际贸易委员会调查向中国等受关注国出口废铝的国家安全风险。3项法案均无联署。其联署的4项法案包括《禁止政府设备使用DeepSeek法》《美国研究保护法》（获众议院通过）、重申《与台湾关系法》的决议（原始联署人）和谴责中国跨国镇压的决议。此外，她是欣森贸易犯罪法案的联署人。</w:t>
      </w:r>
    </w:p>
    <w:p>
      <w:pPr>
        <w:pStyle w:val="BodyText"/>
      </w:pPr>
      <w:r>
        <w:rPr>
          <w:rFonts w:hint="eastAsia"/>
        </w:rPr>
        <w:t xml:space="preserve">史蒂文斯的高频议题是汽车产业和贸易，政策工具以限制型和审查型为主。其涉华法案全部指向中国汽车和相关供应链，是核心样本中选区产业利益与涉华议题对应最为直接的议员。在政策转化方面，3项法案均未进入审议且无人联署，但其所关注的联网汽车议题已通过穆勒纳尔主提的《2026年联网汽车安全法》获得144名议员联署，其中基础样本成员28人。</w:t>
      </w:r>
    </w:p>
    <w:p>
      <w:pPr>
        <w:pStyle w:val="BodyText"/>
      </w:pPr>
      <w:r>
        <w:rPr>
          <w:rFonts w:hint="eastAsia"/>
        </w:rPr>
        <w:t xml:space="preserve">史蒂文斯的政治风格是“单一产业、独立行动、服务于州级竞选”。其3项法案在参议员竞选期间提出，均无联署，表明这些法案的主要功能是在竞选中展示对密歇根州汽车产业的保护立场。随着其初选失利和即将离任，史蒂文斯的涉华议程将在本届国会结束时终止，其所代表的“汽车产业—对华限制”路线将由穆勒纳尔等密歇根州资深议员延续。</w:t>
      </w:r>
    </w:p>
    <w:bookmarkEnd w:id="51"/>
    <w:bookmarkStart w:id="53" w:name="安迪金andy-kim以盟友协调和出口管制为重心的外交专业型参议员"/>
    <w:p>
      <w:pPr>
        <w:pStyle w:val="Heading3"/>
      </w:pPr>
      <w:r>
        <w:t xml:space="preserve">8. </w:t>
      </w:r>
      <w:r>
        <w:rPr>
          <w:rFonts w:hint="eastAsia"/>
        </w:rPr>
        <w:t xml:space="preserve">安迪·金（Andy</w:t>
      </w:r>
      <w:r>
        <w:t xml:space="preserve"> </w:t>
      </w:r>
      <w:r>
        <w:rPr>
          <w:rFonts w:hint="eastAsia"/>
        </w:rPr>
        <w:t xml:space="preserve">Kim）：以盟友协调和出口管制为重心的“外交专业型”参议员</w:t>
      </w:r>
    </w:p>
    <w:p>
      <w:pPr>
        <w:pStyle w:val="FirstParagraph"/>
      </w:pPr>
      <w:r>
        <w:rPr>
          <w:rFonts w:hint="eastAsia"/>
        </w:rPr>
        <w:t xml:space="preserve">安迪·金1982年7月出生于波士顿，韩裔，民主党人，2018年当选新泽西州第3选区众议员，2024年11月当选联邦参议员，12月9日提前就任以填补空缺席位。他先后就读于深泉学院和芝加哥大学，作为罗德学者在牛津大学获国际关系博士学位，曾在美国国际开发署、国务院伊拉克事务办公室任职，担任驻阿富汗美军司令的民事顾问，2013年至2016年在国家安全委员会任职。在参议院，安迪·金任银行、住房与城市事务委员会国家安全与国际贸易小组委员会首席民主党成员，同时是商务委员会、卫生教育劳工养老金委员会、国土安全与政府事务委员会和老龄特别委员会委员。他是核心样本中唯一具有正式外交和国家安全决策经历的议员。作为民主党参议员，他是特朗普政府外交政策的批评者。</w:t>
      </w:r>
    </w:p>
    <w:p>
      <w:pPr>
        <w:pStyle w:val="BodyText"/>
      </w:pPr>
      <w:r>
        <w:rPr>
          <w:rFonts w:hint="eastAsia"/>
        </w:rPr>
        <w:t xml:space="preserve">观察期内，安迪·金主提涉华法案1项，联署12项（8项为原始联署人）。其主提的《推进美国量子领导力法》于2026年6月18日提出，将量子技术纳入进出口银行“中国与转型出口计划”，由共和党参议员朗兹（Mike</w:t>
      </w:r>
      <w:r>
        <w:t xml:space="preserve"> </w:t>
      </w:r>
      <w:r>
        <w:rPr>
          <w:rFonts w:hint="eastAsia"/>
        </w:rPr>
        <w:t xml:space="preserve">Rounds）联署，劳勒于7月2日在众议院提出配套法案。其12项联署中8项为共和党参议员主提，包括科宁的《对华投资限制法》（原始联署人，该法案内容以《COINS法》名义并入2026财年国防授权法第八十五编）、里基茨的《安全芯片法》（原始联署人，要求对向中国出口先进人工智能芯片维持更严格的限制）和《MATCH法》（原始联署人，推动对华技术管制的盟友协调）、吉姆·里施（Jim</w:t>
      </w:r>
      <w:r>
        <w:t xml:space="preserve"> </w:t>
      </w:r>
      <w:r>
        <w:rPr>
          <w:rFonts w:hint="eastAsia"/>
        </w:rPr>
        <w:t xml:space="preserve">Risch）的《威慑中国对台侵略法》（该法案已于2025年10月获外交关系委员会通过并列入参议院日程）、比尔·哈格蒂（Bill</w:t>
      </w:r>
      <w:r>
        <w:t xml:space="preserve"> </w:t>
      </w:r>
      <w:r>
        <w:rPr>
          <w:rFonts w:hint="eastAsia"/>
        </w:rPr>
        <w:t xml:space="preserve">Hagerty）的《BLADE法》和两项关于美日同盟的决议（其中一项获参议院通过）；4项为民主党参议员主提，包括克里斯·范霍伦（Chris</w:t>
      </w:r>
      <w:r>
        <w:t xml:space="preserve"> Van </w:t>
      </w:r>
      <w:r>
        <w:rPr>
          <w:rFonts w:hint="eastAsia"/>
        </w:rPr>
        <w:t xml:space="preserve">Hollen）的《台湾盟友基金法》、杰夫·默克利（Jeff</w:t>
      </w:r>
      <w:r>
        <w:t xml:space="preserve"> </w:t>
      </w:r>
      <w:r>
        <w:rPr>
          <w:rFonts w:hint="eastAsia"/>
        </w:rPr>
        <w:t xml:space="preserve">Merkley）的《台湾蓝天法》、查克·舒默（Chuck</w:t>
      </w:r>
      <w:r>
        <w:t xml:space="preserve"> </w:t>
      </w:r>
      <w:r>
        <w:rPr>
          <w:rFonts w:hint="eastAsia"/>
        </w:rPr>
        <w:t xml:space="preserve">Schumer）的《在美国制造更多法》和克里斯·库恩斯（Chris</w:t>
      </w:r>
      <w:r>
        <w:t xml:space="preserve"> </w:t>
      </w:r>
      <w:r>
        <w:rPr>
          <w:rFonts w:hint="eastAsia"/>
        </w:rPr>
        <w:t xml:space="preserve">Coons）关于对台政策关键要素的决议（均为原始联署人）。</w:t>
      </w:r>
    </w:p>
    <w:p>
      <w:pPr>
        <w:pStyle w:val="BodyText"/>
      </w:pPr>
      <w:r>
        <w:rPr>
          <w:rFonts w:hint="eastAsia"/>
        </w:rPr>
        <w:t xml:space="preserve">安迪·金的高频议题是出口管制、对外投资审查、台湾和美日同盟，政策工具以资源投入型和管制型为主，其特点是围绕对华技术管制的盟友协调与国会监督，而非直接的限制或制裁。在政策转化方面，其联署的《对华投资限制法》已通过国防授权法成为法律，财政部于2026年10月22日据此发布对外投资规则的拟议规则；其联署的《安全芯片法》是国会对特朗普政府2025年8月允许英伟达H20芯片对华出口、12月允许H200芯片对华出口的直接回应，反映出民主党新生代参议员在出口管制问题上对白宫的牵制立场。</w:t>
      </w:r>
      <w:r>
        <w:rPr>
          <w:rStyle w:val="FootnoteReference"/>
        </w:rPr>
        <w:footnoteReference w:id="52"/>
      </w:r>
    </w:p>
    <w:p>
      <w:pPr>
        <w:pStyle w:val="BodyText"/>
      </w:pPr>
      <w:r>
        <w:rPr>
          <w:rFonts w:hint="eastAsia"/>
        </w:rPr>
        <w:t xml:space="preserve">安迪·金的政治风格是“专业化、跨党派、聚焦技术管制与台湾”。他在参议院的涉华行动以联署共和党主流法案为主，自身主提法案仅1项，与其在众议院时期的活跃度相比明显下降，这与其初任参议员、委员会资历尚浅有关。作为任期至2031年的参议员，安迪·金在银行委员会国家安全小组委员会的位置使其在对外投资审查和出口管制立法中具有长期的制度影响，是民主党新生代议员中最有可能在参议院层面持续塑造涉华议程的人选。</w:t>
      </w:r>
    </w:p>
    <w:bookmarkEnd w:id="53"/>
    <w:bookmarkEnd w:id="54"/>
    <w:bookmarkStart w:id="55" w:name="三跨个案比较"/>
    <w:p>
      <w:pPr>
        <w:pStyle w:val="Heading2"/>
      </w:pPr>
      <w:r>
        <w:rPr>
          <w:rFonts w:hint="eastAsia"/>
        </w:rPr>
        <w:t xml:space="preserve">（三）跨个案比较</w:t>
      </w:r>
    </w:p>
    <w:p>
      <w:pPr>
        <w:pStyle w:val="FirstParagraph"/>
      </w:pPr>
      <w:r>
        <w:rPr>
          <w:rFonts w:hint="eastAsia"/>
        </w:rPr>
        <w:t xml:space="preserve">对8个个案进行横向比较，可以在议题偏好、制度位置与成效、活跃度与影响力、政治进路四个维度上得出若干判断，并区分哪些特征属于个别议员，哪些可以上升为群体性判断。</w:t>
      </w:r>
    </w:p>
    <w:p>
      <w:pPr>
        <w:pStyle w:val="BodyText"/>
      </w:pPr>
      <w:r>
        <w:rPr>
          <w:rFonts w:hint="eastAsia"/>
        </w:rPr>
        <w:t xml:space="preserve">第一，议题偏好的分化主要沿党派和委员会归属两条线展开。共和党的5名个案议员覆盖了印太安全架构、台湾、金融安全、农业安全、军事设施、人工智能脱钩和农地住宅等广泛议题，其中劳勒和纳恩偏重台湾与金融，欣森偏重农业与影响力渗透，哈里根偏重军事设施与供应链，霍利偏重人工智能与投资限制。民主党的3名个案议员议题高度集中：苏布拉曼尼亚姆专注新疆，史蒂文斯专注汽车，安迪·金专注出口管制与台湾。委员会归属对议题的影响比党派更直接：同在金融服务委员会的劳勒和纳恩分别提出经纪商注册和金融稳定监督委员会法案，同在中国问题特设委员会的纳恩、欣森和史蒂文斯均参与了重申《与台湾关系法》的决议，军事委员会的哈里根所有法案均与国防采购或军事设施相关。政策工具方面，8人中仅霍利以管制型工具为主，其余7人均以审查型、限制型或组织建设型为主，表明高强制工具的使用是个别议员的选择，而非群体特征。</w:t>
      </w:r>
    </w:p>
    <w:p>
      <w:pPr>
        <w:pStyle w:val="BodyText"/>
      </w:pPr>
      <w:r>
        <w:rPr>
          <w:rFonts w:hint="eastAsia"/>
        </w:rPr>
        <w:t xml:space="preserve">第二，制度位置与立法成效之间的关系表现为“委员会席位决定推进渠道，而非法案数量决定推进结果”。8人在观察期内主提的24项涉华法案无一进入委员会审议，政策转化全部通过三种间接渠道实现：一是军事委员会的修正案程序，哈里根和纳恩的政策内容由此进入国防授权法；二是联署资深议员主提的法案，劳勒联署的《台湾保证实施法》成法，劳勒和安迪·金联署的《台湾非歧视法》《对华投资限制法》并入国防授权法；三是不以中国为名的法案，欣森的贸易犯罪法案获众议院通过。这三种渠道的共同点是依赖既有的制度结构（必须通过的大型法案、资深议员的议程权、不涉及对华标签的法案），而非新生代议员自身的制度权力。因此，拥有军事委员会席位的哈里根和同时拥有三个涉华相关委员会席位的纳恩，其政策转化成效高于主提法案数量相同但缺乏相应委员会席位的劳勒；进入拨款委员会的欣森虽然涉华法案均未推进，但其非涉华标签法案获得了通过。</w:t>
      </w:r>
    </w:p>
    <w:p>
      <w:pPr>
        <w:pStyle w:val="BodyText"/>
      </w:pPr>
      <w:r>
        <w:rPr>
          <w:rFonts w:hint="eastAsia"/>
        </w:rPr>
        <w:t xml:space="preserve">第三，高活跃度与高影响力并不一致，且两者在个案中呈现四种组合。劳勒属于“高活跃、低自主影响”，其53项联署使其成为涉华议题网络中最活跃的节点，但自身法案无一推进，影响力依附于资深议员的法案。哈里根和纳恩属于“高活跃、高渠道影响”，二人的活跃度与劳勒相近，但通过修正案渠道实现了政策内容的落地。欣森和安迪·金属于“中等活跃、制度影响上升”，二人的主提法案不多，但分别处于拨款委员会和银行委员会国家安全小组委员会的位置，且一人正在竞选参议员、一人已是参议员，制度影响处于上升通道。霍利和史蒂文斯属于“集中发声、低影响”，二人的法案均无联署、无审议，功能主要在于立场宣示或服务于竞选，史蒂文斯即将离任，霍利的涉华行动已在2025年中期停止。苏布拉曼尼亚姆介于中间，法案未推进，但联署网络跨党派且包含委员会首席成员，属于“议题培育期”的类型。</w:t>
      </w:r>
    </w:p>
    <w:p>
      <w:pPr>
        <w:pStyle w:val="BodyText"/>
      </w:pPr>
      <w:r>
        <w:rPr>
          <w:rFonts w:hint="eastAsia"/>
        </w:rPr>
        <w:t xml:space="preserve">第四，不同政治进路下的涉华行为呈现出可辨识的差异。州议会路径的议员（劳勒、纳恩、欣森、苏布拉曼尼亚姆）普遍擅长跨党派联署和议题包装，法案的联署人数明显高于其他路径的议员；军事路径的议员（哈里根、纳恩）偏重国防授权法的修正案程序，法案内容聚焦军事设施和国防采购；行政部门路径的议员（安迪·金、史蒂文斯、苏布拉曼尼亚姆）倾向于将涉华议题嵌入其熟悉的专业制度（国家安全委员会、财政部、白宫科技政策），法案技术性强；州总检察长路径的霍利则延续了以诉讼和立场宣示为中心的行动模式，不以立法通过为目标。这些差异表明，新生代议员进入国会前的职业经历不仅影响其议题选择，也塑造了其对国会程序的使用方式。</w:t>
      </w:r>
    </w:p>
    <w:p>
      <w:pPr>
        <w:pStyle w:val="BodyText"/>
      </w:pPr>
      <w:r>
        <w:rPr>
          <w:rFonts w:hint="eastAsia"/>
        </w:rPr>
        <w:t xml:space="preserve">综合8个个案，可以上升为群体性判断的特征包括：以审查型和限制型工具为主、以小切口议题为切入点、以联署和修正案为主要参与方式、独立法案在本届国会难以进入审议、政策转化依赖搭车立法和资深议员的法案。属于个别议员特征的包括：霍利的高强制脱钩法案、劳勒的印太集体安全架构设想、苏布拉曼尼亚姆对单一人权议题的持续深耕、史蒂文斯将涉华法案完全服务于州级竞选的做法。此外，8个个案中有3人（欣森、史蒂文斯、安迪·金）在观察期内处于或完成了参议员竞选，1人（哈里根）为首次任职的新人，其涉华行为的持续性在很大程度上取决于2026年11月中期选举的结果，这是对本文个案判断的主要限定条件。</w:t>
      </w:r>
    </w:p>
    <w:bookmarkEnd w:id="55"/>
    <w:bookmarkStart w:id="58" w:name="一对国会立法与监督的影响"/>
    <w:p>
      <w:pPr>
        <w:pStyle w:val="Heading2"/>
      </w:pPr>
      <w:r>
        <w:rPr>
          <w:rFonts w:hint="eastAsia"/>
        </w:rPr>
        <w:t xml:space="preserve">（一）对国会立法与监督的影响</w:t>
      </w:r>
    </w:p>
    <w:p>
      <w:pPr>
        <w:pStyle w:val="FirstParagraph"/>
      </w:pPr>
      <w:r>
        <w:rPr>
          <w:rFonts w:hint="eastAsia"/>
        </w:rPr>
        <w:t xml:space="preserve">新生代议员对国会涉华立法的影响首先体现在议程供给层面。观察期内，基础样本成员主提的56项涉华法案中有7项获委员会通过、2项获众议院通过，另有欣森的贸易犯罪法案以不含中国字样的形式获众议院通过；这些法案均由共和党议员主提，且所在委员会主席对相关议题持积极态度。获委员会通过的法案在议题上集中于司法部机构设置（古登）、出口管制定义（米勒）、人工智能模型风险评估（埃文斯）、量子供应链（兰沃西）、非法捕捞（克伦肖）和工业与安全局信息化（贾森·克罗〔Jason</w:t>
      </w:r>
      <w:r>
        <w:t xml:space="preserve"> </w:t>
      </w:r>
      <w:r>
        <w:rPr>
          <w:rFonts w:hint="eastAsia"/>
        </w:rPr>
        <w:t xml:space="preserve">Crow〕），这些议题的共同特点是技术性强、不直接触及对华谈判筹码，表明新生代议员法案能否进入审议，取决于其是否避开了白宫在中美谈判中保留的政策空间。</w:t>
      </w:r>
    </w:p>
    <w:p>
      <w:pPr>
        <w:pStyle w:val="BodyText"/>
      </w:pPr>
      <w:r>
        <w:rPr>
          <w:rFonts w:hint="eastAsia"/>
        </w:rPr>
        <w:t xml:space="preserve">在大型立法层面，新生代议员的影响通过国防授权法的修正案程序实现。2026财年国防授权法最终文本中纳入了对外投资审查、生物技术供应链、台湾非歧视、芬太尼制裁、中国军工企业清单、台湾安全合作倡议等多项涉华条款，并授权10亿美元的台湾安全合作倡议经费，2026财年国防拨款法据此拨付该项经费及3亿美元对台外国军事融资。</w:t>
      </w:r>
      <w:r>
        <w:rPr>
          <w:rStyle w:val="FootnoteReference"/>
        </w:rPr>
        <w:footnoteReference w:id="56"/>
      </w:r>
      <w:r>
        <w:rPr>
          <w:rFonts w:hint="eastAsia"/>
        </w:rPr>
        <w:t xml:space="preserve">在这一过程中，新生代议员的角色是条款的参与者而非主导者：哈里根和纳恩的修正案在众议院版本中获得采纳，劳勒、安迪·金等联署的法案被并入最终文本，但对外投资审查、生物安全、台湾非歧视等核心条款的主提人均为资深议员（科宁、里基茨、金映玉等）。新生代议员在国防授权法中的作用，更接近于在既定框架内增加具体执行要求（如禁止国防部采购特定中国产品、要求特定报告），而非设定框架本身。</w:t>
      </w:r>
    </w:p>
    <w:p>
      <w:pPr>
        <w:pStyle w:val="BodyText"/>
      </w:pPr>
      <w:r>
        <w:rPr>
          <w:rFonts w:hint="eastAsia"/>
        </w:rPr>
        <w:t xml:space="preserve">在监督层面，新生代议员的影响主要通过中国问题特设委员会和报告要求实现。特设委员会的4名新生代成员（欣森、纳恩、史蒂文斯、托雷斯）均参与了该委员会的调查工作，欣森在院会发言中援引特设委员会对中国汽车零部件企业青岛三星（Qingdao</w:t>
      </w:r>
      <w:r>
        <w:t xml:space="preserve"> </w:t>
      </w:r>
      <w:r>
        <w:rPr>
          <w:rFonts w:hint="eastAsia"/>
        </w:rPr>
        <w:t xml:space="preserve">Sunsong）转运逃税的调查作为其贸易犯罪法案的立法依据，是委员会调查直接转化为立法行动的例证。</w:t>
      </w:r>
      <w:r>
        <w:rPr>
          <w:rStyle w:val="FootnoteReference"/>
        </w:rPr>
        <w:footnoteReference w:id="57"/>
      </w:r>
      <w:r>
        <w:rPr>
          <w:rFonts w:hint="eastAsia"/>
        </w:rPr>
        <w:t xml:space="preserve">新生代议员法案中占比最高的审查型工具，本质上是在既有的国会监督体系中增加新的报告义务：欣森要求农业部年度评估对华农业依赖，陈要求国家情报总监评估中共影响活动，莫斯科维茨要求评估使领馆电信设备，史蒂文斯要求国际贸易委员会调查废铝出口。这类报告要求一旦进入法律，将在行政部门内部形成持续的信息生产机制，其长期影响可能超过单项限制措施。</w:t>
      </w:r>
    </w:p>
    <w:p>
      <w:pPr>
        <w:pStyle w:val="BodyText"/>
      </w:pPr>
      <w:r>
        <w:rPr>
          <w:rFonts w:hint="eastAsia"/>
        </w:rPr>
        <w:t xml:space="preserve">在塑造党团立场和跨党派共识方面，新生代议员的作用体现为联署网络的扩展。2026年5月特朗普访华前夕，众议院提出重申《与台湾关系法》和既有对台政策的决议，获26名议员联署，其中民主党19人，欣森和史蒂文斯为原始联署人，托雷斯亦在其列；参议院同期由库恩斯提出关于对台政策关键要素的决议，获两党16名参议员联署，安迪·金为原始联署人。这两项决议的功能在于向白宫传递国会在台湾问题上的跨党派底线，新生代议员通过联署参与了这一信号的形成。《2026年联网汽车安全法》获144名议员联署，其中基础样本成员28人，是新生代议员参与度最高的涉华法案，显示其在涉及消费者安全和产业保护的议题上能够形成大规模的跨党派参与。</w:t>
      </w:r>
    </w:p>
    <w:p>
      <w:pPr>
        <w:pStyle w:val="BodyText"/>
      </w:pPr>
      <w:r>
        <w:rPr>
          <w:rFonts w:hint="eastAsia"/>
        </w:rPr>
        <w:t xml:space="preserve">综合判断，新生代议员在本届国会中主要是既有党派路线的执行者和既有议题网络的参与者，独立塑造议程的情形限于若干边缘领域：劳勒的印太集体安全架构设想、纳恩的金融稳定监督委员会台海风险机制、苏布拉曼尼亚姆的上市公司新疆业务披露、哈里根的人工智能“蒸馏攻击”标准，均属于资深议员尚未涉足的议题，但在观察期内均未进入审议。</w:t>
      </w:r>
    </w:p>
    <w:bookmarkEnd w:id="58"/>
    <w:bookmarkStart w:id="63" w:name="二对行政部门对华决策的影响"/>
    <w:p>
      <w:pPr>
        <w:pStyle w:val="Heading2"/>
      </w:pPr>
      <w:r>
        <w:rPr>
          <w:rFonts w:hint="eastAsia"/>
        </w:rPr>
        <w:t xml:space="preserve">（二）对行政部门对华决策的影响</w:t>
      </w:r>
    </w:p>
    <w:p>
      <w:pPr>
        <w:pStyle w:val="FirstParagraph"/>
      </w:pPr>
      <w:r>
        <w:rPr>
          <w:rFonts w:hint="eastAsia"/>
        </w:rPr>
        <w:t xml:space="preserve">本文按照立法约束、监督施压、议题输入、协同配合和政策执行五条路径，逐一核对“议员行动—国会或政府回应—政策变化”的证据链，区分有明确记录的影响与仅存在时间先后关系的情形。</w:t>
      </w:r>
    </w:p>
    <w:p>
      <w:pPr>
        <w:pStyle w:val="BodyText"/>
      </w:pPr>
      <w:r>
        <w:rPr>
          <w:rFonts w:hint="eastAsia"/>
        </w:rPr>
        <w:t xml:space="preserve">立法约束路径的证据链最为完整，但新生代议员处于链条的参与环节。《对华投资限制法》由科宁于2025年3月提出，安迪·金为原始联署人，该法案以《COINS法》名义并入2026财年国防授权法第八十五编并于12月18日成法，财政部据此于2026年10月22日发布对外投资审查规则的拟议规则。《台湾非歧视法》由金映玉提出，劳勒联署，2025年6月获众议院通过后并入国防授权法，要求财政部推动台湾加入国际货币基金组织。</w:t>
      </w:r>
      <w:r>
        <w:rPr>
          <w:rStyle w:val="FootnoteReference"/>
        </w:rPr>
        <w:footnoteReference w:id="59"/>
      </w:r>
      <w:r>
        <w:rPr>
          <w:rFonts w:hint="eastAsia"/>
        </w:rPr>
        <w:t xml:space="preserve">在这两条链条中，新生代议员的行动（联署）与最终的行政部门规则之间存在明确的立法文本传递关系，但其作用限于扩大法案的支持基础，不构成推动法案进入国防授权法的决定性因素。</w:t>
      </w:r>
    </w:p>
    <w:p>
      <w:pPr>
        <w:pStyle w:val="BodyText"/>
      </w:pPr>
      <w:r>
        <w:rPr>
          <w:rFonts w:hint="eastAsia"/>
        </w:rPr>
        <w:t xml:space="preserve">监督施压路径在台湾军售问题上形成了可观察的互动。2025年12月17日，特朗普政府向国会通报总额111亿美元的对台军售，是历史上规模最大的单次通报。2026年5月特朗普访华期间将后续对台军售“搁置”并称之为“谈判筹码”，5月21日海军代理部长在国会听证中以“暂停”描述军售状态，6月3日国务卿鲁比奥表示军售“处于审查之中”。</w:t>
      </w:r>
      <w:r>
        <w:rPr>
          <w:rStyle w:val="FootnoteReference"/>
        </w:rPr>
        <w:footnoteReference w:id="60"/>
      </w:r>
      <w:r>
        <w:rPr>
          <w:rFonts w:hint="eastAsia"/>
        </w:rPr>
        <w:t xml:space="preserve">在此期间，国会的回应包括：4月30日库恩斯提出对台政策决议（安迪·金原始联署），5月7日金映玉在众议院提出《威慑中国对台侵略法》（劳勒联署），5月12日吉尔·托库达（Jill</w:t>
      </w:r>
      <w:r>
        <w:t xml:space="preserve"> </w:t>
      </w:r>
      <w:r>
        <w:rPr>
          <w:rFonts w:hint="eastAsia"/>
        </w:rPr>
        <w:t xml:space="preserve">Tokuda）提出重申《与台湾关系法》决议（欣森、史蒂文斯原始联署，托雷斯联署），6月11日沃金肖提出支持台湾民主的决议（劳勒原始联署，获16名两党议员联署）。这些行动构成国会对白宫对台政策调整的集体回应，新生代议员以主提和联署方式参与其中；但截至检索截止日，上述决议均未获院会表决，被“搁置”的军售是否恢复也无公开的最终记录，因此这一路径的政策效果尚不能确认。</w:t>
      </w:r>
    </w:p>
    <w:p>
      <w:pPr>
        <w:pStyle w:val="BodyText"/>
      </w:pPr>
      <w:r>
        <w:rPr>
          <w:rFonts w:hint="eastAsia"/>
        </w:rPr>
        <w:t xml:space="preserve">议题输入路径是新生代议员影响行政部门最具特色的渠道。新生代议员将量子技术出口融资（劳勒、安迪·金）、人工智能模型蒸馏攻击（哈里根）、开源人工智能模型风险（埃文斯）、联网汽车（史蒂文斯）、中国电子烟（欣森）、通用航空并购审查（哈里根）、废铝出口（史蒂文斯）等此前未被纳入行政部门对华政策议程的事项以法案形式提出，其中埃文斯和兰沃西的法案已获能源与商务委员会通过。这些议题与特朗普政府2025年7月发布的人工智能行动计划、商务部对联网汽车的信息通信技术规则等既有政策方向相呼应，新生代议员的作用在于为行政部门尚未明确表态的细分领域提供立法文本。</w:t>
      </w:r>
      <w:r>
        <w:rPr>
          <w:rStyle w:val="FootnoteReference"/>
        </w:rPr>
        <w:footnoteReference w:id="61"/>
      </w:r>
      <w:r>
        <w:rPr>
          <w:rFonts w:hint="eastAsia"/>
        </w:rPr>
        <w:t xml:space="preserve">这一路径的影响具有滞后性，其效果需待下一届国会的立法进展和行政部门的规则制定才能评估。</w:t>
      </w:r>
    </w:p>
    <w:p>
      <w:pPr>
        <w:pStyle w:val="BodyText"/>
      </w:pPr>
      <w:r>
        <w:rPr>
          <w:rFonts w:hint="eastAsia"/>
        </w:rPr>
        <w:t xml:space="preserve">协同配合路径在观察期内有明确的证据。欣森的《保护美国产业和劳工免受国际贸易犯罪法》将特朗普政府2025年在司法部设立的“贸易欺诈工作组”法典化并增加年度报告要求，该法案以两党44人联署、委员会23票对0票、院会口头表决一致通过的方式获众议院通过，是观察期内新生代议员为行政部门既有措施提供立法授权的典型案例。古登的《保护美国创新与经济安全免受中共侵害法》要求在司法部重建“中共倡议”，与特朗普政府司法部重新强化涉华反间谍执法的方向一致，已获司法委员会通过。奥金克洛斯以民主党人身份提出将第14059号行政令的芬太尼制裁法典化并指向中国，是民主党新生代议员为跨党派行政措施提供法律基础的案例。在这些案例中，行政部门的措施在先，新生代议员的法案在后，法案的功能是使行政措施获得法律稳定性并增加国会监督。</w:t>
      </w:r>
    </w:p>
    <w:p>
      <w:pPr>
        <w:pStyle w:val="BodyText"/>
      </w:pPr>
      <w:r>
        <w:rPr>
          <w:rFonts w:hint="eastAsia"/>
        </w:rPr>
        <w:t xml:space="preserve">政策执行路径的证据集中于出口管制和投资审查的技术性衔接。米勒的《对手法》将1260H清单中的中国军工企业纳入《出口管制改革法》的定义，为工业与安全局的执法提供法律依据，该法案于2026年4月以44票对0票获外交委员会通过；克罗的《工业与安全局信息化现代化法》要求绘制中国国防工业基础与军民融合图谱，劳勒为联署人，该法案同期以39票对5票获外交委员会通过。两项法案均未在观察期内获院会表决，但其内容有望在下一个国防授权法周期中被纳入。</w:t>
      </w:r>
    </w:p>
    <w:p>
      <w:pPr>
        <w:pStyle w:val="BodyText"/>
      </w:pPr>
      <w:r>
        <w:rPr>
          <w:rFonts w:hint="eastAsia"/>
        </w:rPr>
        <w:t xml:space="preserve">对上述五条路径的核对表明，新生代议员对行政部门对华决策的影响在观察期内主要表现为两种形态：一是作为参与者进入资深议员主导的立法约束链条，二是为行政部门既有措施提供法典化和监督要求。在出口管制、关税和对台军售等白宫保留主导权的核心领域，新生代议员的行动未能改变行政部门的决策：特朗普政府于2025年8月允许英伟达H20芯片对华出口、12月允许H200芯片对华出口，均未受安迪·金联署的《安全芯片法》等国会动议的实质约束；釜山会晤后暂停实施商务部“关联企业规则”、北京会晤期间“搁置”对台军售，均属行政部门在国会多数反对的方向上作出的决定。</w:t>
      </w:r>
      <w:r>
        <w:rPr>
          <w:rStyle w:val="FootnoteReference"/>
        </w:rPr>
        <w:footnoteReference w:id="62"/>
      </w:r>
    </w:p>
    <w:bookmarkEnd w:id="63"/>
    <w:bookmarkStart w:id="65" w:name="三对舆论和长期政策环境的影响"/>
    <w:p>
      <w:pPr>
        <w:pStyle w:val="Heading2"/>
      </w:pPr>
      <w:r>
        <w:rPr>
          <w:rFonts w:hint="eastAsia"/>
        </w:rPr>
        <w:t xml:space="preserve">（三）对舆论和长期政策环境的影响</w:t>
      </w:r>
    </w:p>
    <w:p>
      <w:pPr>
        <w:pStyle w:val="FirstParagraph"/>
      </w:pPr>
      <w:r>
        <w:rPr>
          <w:rFonts w:hint="eastAsia"/>
        </w:rPr>
        <w:t xml:space="preserve">新生代议员对舆论和长期政策环境的影响主要体现在四个方面。</w:t>
      </w:r>
    </w:p>
    <w:p>
      <w:pPr>
        <w:pStyle w:val="BodyText"/>
      </w:pPr>
      <w:r>
        <w:rPr>
          <w:rFonts w:hint="eastAsia"/>
        </w:rPr>
        <w:t xml:space="preserve">第一，推动新议题进入公众和媒体议程。电子烟、联网汽车、量子技术、诈骗园区、开源人工智能模型等议题在观察期内由新生代议员率先或集中提出，这些议题与消费者安全和日常生活直接相关，比传统的军事安全议题更容易获得媒体和公众关注。欣森的电子烟法案、史蒂文斯的汽车法案和基础样本28人联署的联网汽车法案，共同将“中国产品的安全风险”从政府采购领域扩展至消费品领域，这一扩展为后续针对消费品的限制措施提供了舆论基础。</w:t>
      </w:r>
    </w:p>
    <w:p>
      <w:pPr>
        <w:pStyle w:val="BodyText"/>
      </w:pPr>
      <w:r>
        <w:rPr>
          <w:rFonts w:hint="eastAsia"/>
        </w:rPr>
        <w:t xml:space="preserve">第二，强化“中共”指称和安全化叙事的常态化。新生代议员法案标题中“中共”取代“中国”的做法、将经贸和社会议题纳入安全框架的叙事方式，与资深议员的做法并无本质差别，但新生代议员的参与使这种话语在国会中跨越了代际和党派，成为新进入国会的议员的默认选择。陈和奥金克洛斯作为民主党新人使用“中共”作为法案标题关键词，表明这一话语已不再具有党派标识。</w:t>
      </w:r>
    </w:p>
    <w:p>
      <w:pPr>
        <w:pStyle w:val="BodyText"/>
      </w:pPr>
      <w:r>
        <w:rPr>
          <w:rFonts w:hint="eastAsia"/>
        </w:rPr>
        <w:t xml:space="preserve">第三，为后续更强制性政策积累文本储备。霍利的人工智能脱钩法案、穆尔的禁止中国学生签证法案、哈里根的禁止STEM签证法案、戈尔登的对华最低35%关税法案在本届国会均未推进，但这些文本的存在划定了国会涉华政策的话语上限，并在特定事件发生时成为可以迅速启用的政策选项。2025年5月28日国务卿鲁比奥宣布将“积极撤销”中国留学生签证，与穆尔两个多月前提出的法案方向一致；同年8月特朗普表示欢迎60万中国学生赴美后，国会中的相关法案成为对白宫政策转向的制衡文本。</w:t>
      </w:r>
      <w:r>
        <w:rPr>
          <w:rStyle w:val="FootnoteReference"/>
        </w:rPr>
        <w:footnoteReference w:id="64"/>
      </w:r>
      <w:r>
        <w:rPr>
          <w:rFonts w:hint="eastAsia"/>
        </w:rPr>
        <w:t xml:space="preserve">这一事例表明，新生代议员的高强制法案在行政部门政策摇摆时发挥着“锚定”功能。</w:t>
      </w:r>
    </w:p>
    <w:p>
      <w:pPr>
        <w:pStyle w:val="BodyText"/>
      </w:pPr>
      <w:r>
        <w:rPr>
          <w:rFonts w:hint="eastAsia"/>
        </w:rPr>
        <w:t xml:space="preserve">第四，培育跨党派议题联盟和年轻政治人物网络。观察期内形成了若干具有持续性的跨党派合作组合：纳恩与苏布拉曼尼亚姆在新疆法案上的合作、哈里根与陈在影响力渗透法案上的合作、劳勒与沃金肖在台湾决议上的合作、欣森与克里希纳穆尔蒂在农业安全和贸易犯罪法案上的合作、安迪·金与里基茨在出口管制法案上的合作。这些组合跨越党派，且参与者多数处于政治生涯的上升期，其在本届国会形成的合作关系有可能延续至下一届国会乃至参议院。欣森若当选参议员、哈里根和苏布拉曼尼亚姆若连任并积累资历，这一网络的制度影响将随之上升。</w:t>
      </w:r>
    </w:p>
    <w:p>
      <w:pPr>
        <w:pStyle w:val="BodyText"/>
      </w:pPr>
      <w:r>
        <w:rPr>
          <w:rFonts w:hint="eastAsia"/>
        </w:rPr>
        <w:t xml:space="preserve">短期政策成效与长期议程影响之间的区别在此需要特别说明。就短期政策成效而言，新生代议员在观察期内没有独立成法的涉华法案，对行政部门核心决策的影响有限；就长期议程影响而言，新生代议员提出的议题、使用的话语和建立的合作网络，正在成为下一届国会涉华立法的起点。对这一群体的评估应当同时考虑这两个层面，不能因短期成效有限而低估其长期影响，也不能因其话语强硬而高估其当前的政策转化能力。</w:t>
      </w:r>
    </w:p>
    <w:bookmarkEnd w:id="65"/>
    <w:bookmarkStart w:id="68" w:name="四主要制约因素"/>
    <w:p>
      <w:pPr>
        <w:pStyle w:val="Heading2"/>
      </w:pPr>
      <w:r>
        <w:rPr>
          <w:rFonts w:hint="eastAsia"/>
        </w:rPr>
        <w:t xml:space="preserve">（四）主要制约因素</w:t>
      </w:r>
    </w:p>
    <w:p>
      <w:pPr>
        <w:pStyle w:val="FirstParagraph"/>
      </w:pPr>
      <w:r>
        <w:rPr>
          <w:rFonts w:hint="eastAsia"/>
        </w:rPr>
        <w:t xml:space="preserve">新生代议员的涉华影响力受到八个方面因素的制约。</w:t>
      </w:r>
    </w:p>
    <w:p>
      <w:pPr>
        <w:pStyle w:val="BodyText"/>
      </w:pPr>
      <w:r>
        <w:rPr>
          <w:rFonts w:hint="eastAsia"/>
        </w:rPr>
        <w:t xml:space="preserve">第一，国会立法程序与议程容量。观察期内国会共提出19782项法案和决议，其中涉华法案528项，84%的新生代议员涉华法案停留在提交委员会阶段。委员会主席对法案能否进入审议拥有决定权，新生代议员普遍缺乏这一程序权力；众议院以暂停规则程序审议的法案需三分之二多数通过，这使得争议性法案难以通过快速通道。国防授权法虽然为修正案提供了渠道，但两院协商阶段的取舍由军事委员会领导层决定，哈里根和纳恩的修正案在众议院版本中获得采纳，但最终文本的保留与否不在其控制之内。</w:t>
      </w:r>
    </w:p>
    <w:p>
      <w:pPr>
        <w:pStyle w:val="BodyText"/>
      </w:pPr>
      <w:r>
        <w:rPr>
          <w:rFonts w:hint="eastAsia"/>
        </w:rPr>
        <w:t xml:space="preserve">第二，两党分歧、党内竞争与资深议员的资源优势。涉华法案的供给高度集中于共和党（528项中405项），民主党新生代议员在少数党地位下难以独立推进法案；共和党新生代议员之间则存在争取白宫认可和媒体关注的竞争，法案的重复提出（史蒂文斯两项汽车法案、两院多项农地法案）部分源于此。资深议员掌握着涉华立法的核心议题：穆勒纳尔主导特设委员会，金映玉主导台湾立法，科宁、里基茨主导出口管制和对外投资审查，新生代议员的法案在议题上需要避开这些领域或以联署方式加入。</w:t>
      </w:r>
    </w:p>
    <w:p>
      <w:pPr>
        <w:pStyle w:val="BodyText"/>
      </w:pPr>
      <w:r>
        <w:rPr>
          <w:rFonts w:hint="eastAsia"/>
        </w:rPr>
        <w:t xml:space="preserve">第三，特朗普政府的政策优先级与行政部门的自主判断。观察期内白宫的对华政策以经贸谈判为中心，釜山、北京、华盛顿三次元首会晤达成的安排（下调芬太尼关税、暂停对等关税、暂停“关联企业规则”、建立贸易与投资委员会、设立人工智能对话）均由行政部门主导，国会未参与谈判进程。白宫在英伟达芯片出口、对台军售、TikTok交易等问题上的决定与国会多数的倾向相左，但国会未能以立法方式加以纠正。</w:t>
      </w:r>
      <w:r>
        <w:rPr>
          <w:rStyle w:val="FootnoteReference"/>
        </w:rPr>
        <w:footnoteReference w:id="66"/>
      </w:r>
      <w:r>
        <w:rPr>
          <w:rFonts w:hint="eastAsia"/>
        </w:rPr>
        <w:t xml:space="preserve">新生代议员在这一环境下的理性选择是避开白宫保留的谈判筹码领域，转向技术性和小切口议题，这在客观上限制了其对核心决策的影响。</w:t>
      </w:r>
    </w:p>
    <w:p>
      <w:pPr>
        <w:pStyle w:val="BodyText"/>
      </w:pPr>
      <w:r>
        <w:rPr>
          <w:rFonts w:hint="eastAsia"/>
        </w:rPr>
        <w:t xml:space="preserve">第四，行政执行能力、部门协调与预算条件。2025年10月1日至11月12日的43天政府停摆打断了行政部门的规则制定和执法进程；《COINS法》成法十个月后财政部才发布拟议规则，《生物安全法》条款要求管理和预算办公室在法律生效一年内公布受限企业名单，均显示行政部门执行涉华立法的周期远长于立法周期。工业与安全局的执法能力不足是国会两党共识，克罗的信息化现代化法案即针对此问题。新生代议员法案中大量的报告要求将进一步增加行政部门的合规负担，其执行质量取决于预算和人力配置。</w:t>
      </w:r>
    </w:p>
    <w:p>
      <w:pPr>
        <w:pStyle w:val="BodyText"/>
      </w:pPr>
      <w:r>
        <w:rPr>
          <w:rFonts w:hint="eastAsia"/>
        </w:rPr>
        <w:t xml:space="preserve">第五，司法审查与法律实施障碍。2026年2月20日最高法院裁定《国际紧急经济权力法》不授权总统加征关税，是观察期内对行政部门对华政策工具最重大的司法限制，同时提示国会任何涉及行政授权的涉华立法都可能面临司法审查。对企业和个人的限制性措施（如禁止特定国籍学生签证、禁止特定实体购买住宅）涉及平等保护和正当程序问题，相关法案在起草阶段即面临合宪性质疑，这也是此类法案难以获得联署的原因之一。</w:t>
      </w:r>
    </w:p>
    <w:p>
      <w:pPr>
        <w:pStyle w:val="BodyText"/>
      </w:pPr>
      <w:r>
        <w:rPr>
          <w:rFonts w:hint="eastAsia"/>
        </w:rPr>
        <w:t xml:space="preserve">第六，企业、行业协会、地方利益及社会团体的阻力。英伟达在2025年成功推动白宫放开H20和H200芯片出口，显示科技企业对出口管制决策的影响力；农业州在釜山会晤后获得中方承诺的2025年1200万吨和2026年至2028年每年2500万吨大豆采购，使农业州议员在对华强硬与维护出口之间面临现实权衡；《生物安全法》最终文本删除了对具体企业的点名并设置五年过渡期，反映了生物医药行业的游说效果。</w:t>
      </w:r>
      <w:r>
        <w:rPr>
          <w:rStyle w:val="FootnoteReference"/>
        </w:rPr>
        <w:footnoteReference w:id="67"/>
      </w:r>
      <w:r>
        <w:rPr>
          <w:rFonts w:hint="eastAsia"/>
        </w:rPr>
        <w:t xml:space="preserve">新生代议员中代表农业州（欣森、纳恩、霍利）和汽车产业州（史蒂文斯）的成员，其涉华法案均以“风险评估”“依赖审查”等相对温和的形式出现，部分原因即在于此。</w:t>
      </w:r>
    </w:p>
    <w:p>
      <w:pPr>
        <w:pStyle w:val="BodyText"/>
      </w:pPr>
      <w:r>
        <w:rPr>
          <w:rFonts w:hint="eastAsia"/>
        </w:rPr>
        <w:t xml:space="preserve">第七，盟友配合、国际环境与中方反制。中方于2025年10月9日宣布的稀土出口管制措施是促成釜山会晤“休战”安排的直接因素，表明中方的反制能力构成美国国内涉华立法的外部约束。2026年2月28日起美国对伊朗的军事行动使国会外交议程的重心转向中东，当季涉华法案数量降至观察期最低水平之一。美日同盟、台湾问题上的盟友立场变化（如2025年11月日本首相高市早苗涉台言论引发的中日摩擦）为国会提供了表态机会，但未转化为实质立法。</w:t>
      </w:r>
    </w:p>
    <w:p>
      <w:pPr>
        <w:pStyle w:val="BodyText"/>
      </w:pPr>
      <w:r>
        <w:rPr>
          <w:rFonts w:hint="eastAsia"/>
        </w:rPr>
        <w:t xml:space="preserve">第八，未完成会期与议员个人政治前景的不确定性。本届国会将于2027年1月3日结束，届时所有未成法的法案自动失效，新生代议员需要在下一届国会重新提出。2026年11月的中期选举将决定核心议员的去留：史蒂文斯已在参议员初选中落败，欣森正在竞选参议员，劳勒、纳恩、埃文斯所在选区竞争激烈，基利已退出共和党以独立人士身份参选。年轻资深型议员中，斯沃韦尔于2026年4月辞职，基础样本中冈萨雷斯、希拉·谢尔菲卢斯-麦考密克（Sheila</w:t>
      </w:r>
      <w:r>
        <w:t xml:space="preserve"> </w:t>
      </w:r>
      <w:r>
        <w:rPr>
          <w:rFonts w:hint="eastAsia"/>
        </w:rPr>
        <w:t xml:space="preserve">Cherfilus-McCormick）亦于2026年4月辞职。议员个人前景的变化使得对该群体涉华行为的任何判断都具有阶段性。</w:t>
      </w:r>
    </w:p>
    <w:bookmarkEnd w:id="68"/>
    <w:bookmarkStart w:id="69" w:name="一总体研判原则"/>
    <w:p>
      <w:pPr>
        <w:pStyle w:val="Heading2"/>
      </w:pPr>
      <w:r>
        <w:rPr>
          <w:rFonts w:hint="eastAsia"/>
        </w:rPr>
        <w:t xml:space="preserve">（一）总体研判原则</w:t>
      </w:r>
    </w:p>
    <w:p>
      <w:pPr>
        <w:pStyle w:val="FirstParagraph"/>
      </w:pPr>
      <w:r>
        <w:rPr>
          <w:rFonts w:hint="eastAsia"/>
        </w:rPr>
        <w:t xml:space="preserve">基于前文的分析，对第119届国会新生代涉华议员的研判应当遵循五项原则。</w:t>
      </w:r>
    </w:p>
    <w:p>
      <w:pPr>
        <w:pStyle w:val="BodyText"/>
      </w:pPr>
      <w:r>
        <w:rPr>
          <w:rFonts w:hint="eastAsia"/>
        </w:rPr>
        <w:t xml:space="preserve">第一，不以个别议员的立场推断群体、党派或国会整体的立场。97名新生代议员中有19人在观察期内没有任何涉华立法记录，47人仅以联署方式参与，真正持续、主动推动涉华议程的核心议员仅20人；核心议员内部在工具选择上也存在从霍利的全面脱钩到苏布拉曼尼亚姆的信息披露之间的巨大差异。将霍利或穆尔的高强制法案视为“新生代共识”，或将劳勒的两党合作风格视为“新生代温和化”，都与观察期内的记录不符。</w:t>
      </w:r>
    </w:p>
    <w:p>
      <w:pPr>
        <w:pStyle w:val="BodyText"/>
      </w:pPr>
      <w:r>
        <w:rPr>
          <w:rFonts w:hint="eastAsia"/>
        </w:rPr>
        <w:t xml:space="preserve">第二，区分表态性行动、立法性行动与已经落地的政策。观察期内新生代议员主提的56项涉华法案无一独立成法，7项获委员会通过，2项获院会通过；对行政部门产生实际约束的涉华条款全部通过国防授权法实现，且新生代议员在其中处于参与而非主导地位。对一项法案的研判应首先确认其所处阶段：提交委员会后无后续动作的法案，其政策含义限于立场宣示；获委员会通过的法案进入了可能被并入大型法案的候选范围；进入国防授权法两院协商文本的条款才具有现实的政策影响。</w:t>
      </w:r>
    </w:p>
    <w:p>
      <w:pPr>
        <w:pStyle w:val="BodyText"/>
      </w:pPr>
      <w:r>
        <w:rPr>
          <w:rFonts w:hint="eastAsia"/>
        </w:rPr>
        <w:t xml:space="preserve">第三，同时关注当前政策影响与长期议程塑造能力。新生代议员在本届国会的政策转化成效有限，但其提出的议题（量子出口融资、人工智能蒸馏攻击、联网汽车、电子烟、通用航空并购）、使用的话语（“中共”指称、“武器化依赖”、“可信供应链”）和建立的跨党派合作组合，构成下一届国会涉华立法的起点。以2027年1月新一届国会开幕为节点，本届国会未推进的法案将被大量重新提出，届时这些议员的资历和制度位置均有提升。</w:t>
      </w:r>
    </w:p>
    <w:p>
      <w:pPr>
        <w:pStyle w:val="BodyText"/>
      </w:pPr>
      <w:r>
        <w:rPr>
          <w:rFonts w:hint="eastAsia"/>
        </w:rPr>
        <w:t xml:space="preserve">第四，根据制度位置、政策转化能力和议题网络配置研判资源。主提法案数量是衡量活跃度的指标，但不是衡量影响力的指标。拥有军事委员会席位并熟练使用修正案程序的哈里根，同时任职于金融服务委员会、农业委员会和特设委员会的纳恩，处于拨款委员会并即将进入参议院的欣森，以及在参议院银行委员会国家安全小组委员会任首席民主党成员的安迪·金，其影响力高于主提法案数量相同或更多但缺乏相应制度位置的议员。</w:t>
      </w:r>
    </w:p>
    <w:p>
      <w:pPr>
        <w:pStyle w:val="BodyText"/>
      </w:pPr>
      <w:r>
        <w:rPr>
          <w:rFonts w:hint="eastAsia"/>
        </w:rPr>
        <w:t xml:space="preserve">第五，避免因对高曝光议员过度回应而反向放大其影响。霍利的脱钩法案、米尔斯的“中国预算办公室”法案、穆尔的禁止中国学生签证法案等，均以立场宣示为主要功能，无联署或联署极少，在观察期内未获任何审议。对此类法案的公开回应可能提升其在美国国内的关注度，反而增加其在下一届国会被重新提出并获得联署的可能性。</w:t>
      </w:r>
    </w:p>
    <w:bookmarkEnd w:id="69"/>
    <w:bookmarkStart w:id="70" w:name="二建立分层分类的跟踪体系"/>
    <w:p>
      <w:pPr>
        <w:pStyle w:val="Heading2"/>
      </w:pPr>
      <w:r>
        <w:rPr>
          <w:rFonts w:hint="eastAsia"/>
        </w:rPr>
        <w:t xml:space="preserve">（二）建立分层分类的跟踪体系</w:t>
      </w:r>
    </w:p>
    <w:p>
      <w:pPr>
        <w:pStyle w:val="FirstParagraph"/>
      </w:pPr>
      <w:r>
        <w:rPr>
          <w:rFonts w:hint="eastAsia"/>
        </w:rPr>
        <w:t xml:space="preserve">根据活跃度和影响力两个维度，可将新生代议员划分为四类，分别采取不同的跟踪重点。</w:t>
      </w:r>
    </w:p>
    <w:p>
      <w:pPr>
        <w:pStyle w:val="BodyText"/>
      </w:pPr>
      <w:r>
        <w:rPr>
          <w:rFonts w:hint="eastAsia"/>
        </w:rPr>
        <w:t xml:space="preserve">第一类为高活跃、高影响议员，应作为持续重点跟踪对象，包括哈里根、纳恩、欣森、安迪·金。哈里根在军事委员会的修正案记录表明其具备将涉华主张嵌入国防授权法的能力，其议题正从军事设施向台湾、人工智能和投资审查扩展，应重点跟踪其在2027财年及后续国防授权法审议中的修正案清单。纳恩同时具备三个涉华相关委员会席位，其金融稳定监督委员会台海风险机制和美台国防创新伙伴关系法案具有被并入大型法案的潜力，应跟踪其在金融服务委员会的修正案和特设委员会的报告。欣森若于2026年11月当选参议员，其贸易犯罪法案在参议院的推进、其在参议院委员会的分配将决定其后续涉华议程的空间。安迪·金的联署集中于出口管制和对外投资审查的核心立法，其在银行委员会的位置使其在《COINS法》规则制定的国会监督中具有发言权，应跟踪其对财政部对外投资规则的表态。</w:t>
      </w:r>
    </w:p>
    <w:p>
      <w:pPr>
        <w:pStyle w:val="BodyText"/>
      </w:pPr>
      <w:r>
        <w:rPr>
          <w:rFonts w:hint="eastAsia"/>
        </w:rPr>
        <w:t xml:space="preserve">第二类为高活跃、低影响议员，应重点观察其议题扩散和联盟构建，包括劳勒、米尔斯、苏布拉曼尼亚姆、古登、米勒。劳勒的53项联署使其成为涉华议题网络中最活跃的节点，其印太集体安全架构设想虽无联署，但若在下一届国会获得外交委员会资深成员支持，可能成为国会讨论印太安全架构的文本基础。米尔斯4项法案联署极少，其行为模式以个人表态为主，影响力有限，但其外交委员会监督与情报小组委员会主席的职位使其具备安排听证的程序权力。苏布拉曼尼亚姆的新疆法案在本届国会未推进，但其与纳恩的合作以及法案联署人中包含外交委员会和特设委员会首席民主党成员，表明该议题在下一届国会具备推进条件。古登和米勒的法案已获委员会通过，应跟踪其是否被列入众议院暂停规则日程或并入其他法案。</w:t>
      </w:r>
    </w:p>
    <w:p>
      <w:pPr>
        <w:pStyle w:val="BodyText"/>
      </w:pPr>
      <w:r>
        <w:rPr>
          <w:rFonts w:hint="eastAsia"/>
        </w:rPr>
        <w:t xml:space="preserve">第三类为低活跃、高制度影响议员，应关注其在关键立法节点的行动，包括加巴里诺（国土安全委员会主席）、斯泰尔（众议院行政委员会主席）、布里特（参议院拨款委员会国土安全小组委员会主席）、穆尔（拨款委员会）、克伦肖（情报委员会小组委员会主席）、吉尔（情报委员会）。这类议员在观察期内涉华主提法案很少或没有，但其所在委员会掌握国土安全、拨款和情报领域的管辖权，在国土安全授权法、拨款法和情报授权法审议中具备嵌入涉华条款的程序能力。对这类议员的跟踪重点不是其日常表态，而是其所主持的委员会审议日程中涉华条款的出现。</w:t>
      </w:r>
    </w:p>
    <w:p>
      <w:pPr>
        <w:pStyle w:val="BodyText"/>
      </w:pPr>
      <w:r>
        <w:rPr>
          <w:rFonts w:hint="eastAsia"/>
        </w:rPr>
        <w:t xml:space="preserve">第四类为新兴议题型议员，应关注其是否由传播表态转向实质立法，包括埃文斯（人工智能模型风险）、兰沃西（量子供应链）、史蒂文斯（联网汽车，即将离任）、奥金克洛斯（芬太尼制裁）、托雷斯（金融与高校捐赠）、陈（影响力渗透）、沃金肖（台湾）。埃文斯和兰沃西的法案已获能源与商务委员会通过，是新兴议题中最接近实质立法的两项；史蒂文斯离任后其汽车议题将由密歇根州其他议员接续；陈和沃金肖均为2025年进入国会的新人，其首项涉华法案均获跨党派联署，应观察其在下一届国会是否形成持续的议题投入。</w:t>
      </w:r>
    </w:p>
    <w:p>
      <w:pPr>
        <w:pStyle w:val="BodyText"/>
      </w:pPr>
      <w:r>
        <w:rPr>
          <w:rFonts w:hint="eastAsia"/>
        </w:rPr>
        <w:t xml:space="preserve">对上述四类议员，应建立动态档案，按季度更新其主提法案、联署记录、修正案、委员会职务、公开表态和选举前景。档案更新的关键时点包括：每届国会开幕后三个月（法案重新提出的集中期）、国防授权法委员会审议期（通常为每年5月至7月）、拨款法审议期、中期选举和大选后的委员会改组期。</w:t>
      </w:r>
    </w:p>
    <w:bookmarkEnd w:id="70"/>
    <w:bookmarkStart w:id="71" w:name="三围绕关键立法节点开展预警"/>
    <w:p>
      <w:pPr>
        <w:pStyle w:val="Heading2"/>
      </w:pPr>
      <w:r>
        <w:rPr>
          <w:rFonts w:hint="eastAsia"/>
        </w:rPr>
        <w:t xml:space="preserve">（三）围绕关键立法节点开展预警</w:t>
      </w:r>
    </w:p>
    <w:p>
      <w:pPr>
        <w:pStyle w:val="FirstParagraph"/>
      </w:pPr>
      <w:r>
        <w:rPr>
          <w:rFonts w:hint="eastAsia"/>
        </w:rPr>
        <w:t xml:space="preserve">在本届国会剩余会期和下一届国会初期，以下立法节点需要重点预警。</w:t>
      </w:r>
    </w:p>
    <w:p>
      <w:pPr>
        <w:pStyle w:val="BodyText"/>
      </w:pPr>
      <w:r>
        <w:rPr>
          <w:rFonts w:hint="eastAsia"/>
        </w:rPr>
        <w:t xml:space="preserve">第一，国防授权法和拨款法中的涉华附加条款。2026财年国防授权法已成为观察期内涉华条款最集中的法律，2027财年国防授权法的两院协商以及2027财年各项拨款法的审议是本届国会剩余时间内最重要的立法窗口。预警重点是：哈里根、纳恩等新生代议员在众议院版本中获采纳的修正案是否进入最终文本；古登、米勒、埃文斯、兰沃西等已获委员会通过的法案是否以条款形式并入；《生物安全法》条款要求的受限企业名单（2026年12月18日前公布）和《COINS法》的最终规则在国会中引发的后续立法动议。</w:t>
      </w:r>
    </w:p>
    <w:p>
      <w:pPr>
        <w:pStyle w:val="BodyText"/>
      </w:pPr>
      <w:r>
        <w:rPr>
          <w:rFonts w:hint="eastAsia"/>
        </w:rPr>
        <w:t xml:space="preserve">第二，委员会审议、院会表决和两院协调程序。新生代议员的法案从提交到委员会审议的间隔普遍超过一年（古登法案2025年2月提出、2026年6月列入日程；欣森贸易犯罪法案2025年3月提出、2026年6月委员会通过、8月院会通过），委员会安排审议是法案风险等级提升的最明确信号。对于已获委员会通过的法案，应关注其是否被列入众议院暂停规则日程；对于已获一院通过的法案（欣森贸易犯罪法案、埃文斯投资法案），应关注参议院相应委员会的动向。</w:t>
      </w:r>
    </w:p>
    <w:p>
      <w:pPr>
        <w:pStyle w:val="BodyText"/>
      </w:pPr>
      <w:r>
        <w:rPr>
          <w:rFonts w:hint="eastAsia"/>
        </w:rPr>
        <w:t xml:space="preserve">第三，跨党派联署增加、提案重新包装和相似法案重复提交等信号。观察期内的记录显示，联署规模是法案进入审议的前置条件：获委员会通过的法案中，古登法案有13名联署人，欣森贸易犯罪法案有44名联署人，而无联署的法案无一进入审议。《2026年联网汽车安全法》144名联署人、《禁止政府设备使用DeepSeek法》32名联署人等大规模联署法案，即使当前未进入审议，也应视为高风险法案。提案重新包装的信号包括：同一议员以不同标题重复提出相近内容（史蒂文斯两项汽车法案）、两院同时提出配套法案（劳勒与安迪·金的量子法案、米勒与希伊的矿业法案、霍利与布雷斯纳汉的咨询业法案）、民主党议员提出与共和党法案相近的版本。这些信号表明议题正在从个人提案向跨院、跨党派议程转化。</w:t>
      </w:r>
    </w:p>
    <w:p>
      <w:pPr>
        <w:pStyle w:val="BodyText"/>
      </w:pPr>
      <w:r>
        <w:rPr>
          <w:rFonts w:hint="eastAsia"/>
        </w:rPr>
        <w:t xml:space="preserve">第四，区分提案首次出现与即将进入实质推进阶段的风险等级。建议采用四级划分：一级为提交后无联署、无委员会动作的法案（观察期内新生代议员法案的多数），政策含义限于立场宣示；二级为获得跨党派联署或两院配套法案的法案，表明议题已具备联盟基础；三级为获委员会通过或列入院会日程的法案，进入可能被并入大型法案的候选范围；四级为进入国防授权法等大型法案两院协商文本的条款，具有现实的政策影响。对不同等级的法案应配置不同强度的跟踪和回应资源。</w:t>
      </w:r>
    </w:p>
    <w:p>
      <w:pPr>
        <w:pStyle w:val="BodyText"/>
      </w:pPr>
      <w:r>
        <w:rPr>
          <w:rFonts w:hint="eastAsia"/>
        </w:rPr>
        <w:t xml:space="preserve">第五，将议员行为预警与行政部门执行动态结合。新生代议员法案中大量的审查型条款（报告、评估、调查要求）一旦进入法律，其政策影响取决于行政部门的执行方式。应同步跟踪农业部、商务部、财政部、国务院和国家情报总监办公室对相关报告要求的执行，以及这些报告的结论被国会用于后续立法的情形。中美经贸“休战”安排的到期日（2027年1月10日）、特朗普出席2026年11月深圳亚太经合组织会议和习近平主席出席12月迈阿密二十国集团峰会等行政部门议程节点，也将影响国会涉华立法的节奏，2026年第二季度涉华法案在特朗普访华前后的集中出现即为先例。</w:t>
      </w:r>
    </w:p>
    <w:bookmarkEnd w:id="71"/>
    <w:bookmarkStart w:id="73" w:name="四针对合作网络和政策联盟开展研判"/>
    <w:p>
      <w:pPr>
        <w:pStyle w:val="Heading2"/>
      </w:pPr>
      <w:r>
        <w:rPr>
          <w:rFonts w:hint="eastAsia"/>
        </w:rPr>
        <w:t xml:space="preserve">（四）针对合作网络和政策联盟开展研判</w:t>
      </w:r>
    </w:p>
    <w:p>
      <w:pPr>
        <w:pStyle w:val="FirstParagraph"/>
      </w:pPr>
      <w:r>
        <w:rPr>
          <w:rFonts w:hint="eastAsia"/>
        </w:rPr>
        <w:t xml:space="preserve">新生代议员的涉华行为嵌入在特定的合作网络之中，对其研判不能将个人行动视为孤立事件。</w:t>
      </w:r>
    </w:p>
    <w:p>
      <w:pPr>
        <w:pStyle w:val="BodyText"/>
      </w:pPr>
      <w:r>
        <w:rPr>
          <w:rFonts w:hint="eastAsia"/>
        </w:rPr>
        <w:t xml:space="preserve">第一，识别核心发起人、关键联署人和跨党派桥梁人物。观察期内新生代议员涉华网络中的核心发起人是劳勒、纳恩、哈里根（主提案数量多且持续）；关键联署人是劳勒（53项）、纳恩（20项）、哈里根（18项）、妮可·马利奥塔基斯（Nicole</w:t>
      </w:r>
      <w:r>
        <w:t xml:space="preserve"> </w:t>
      </w:r>
      <w:r>
        <w:rPr>
          <w:rFonts w:hint="eastAsia"/>
        </w:rPr>
        <w:t xml:space="preserve">Malliotakis，14项）、安迪·金（12项）、约翰尼·奥尔舍夫斯基（Johnny</w:t>
      </w:r>
      <w:r>
        <w:t xml:space="preserve"> </w:t>
      </w:r>
      <w:r>
        <w:rPr>
          <w:rFonts w:hint="eastAsia"/>
        </w:rPr>
        <w:t xml:space="preserve">Olszewski，12项）；跨党派桥梁人物是在两党法案之间均有大量联署的议员，包括劳勒（联署12项民主党法案）、纳恩（联署7项民主党法案）、安迪·金（联署8项共和党法案）、托雷斯（7项联署中4项为共和党法案）。这些桥梁人物是涉华议题跨党派共识形成的中介，其立场变化对联盟结构的影响大于其个人法案。</w:t>
      </w:r>
    </w:p>
    <w:p>
      <w:pPr>
        <w:pStyle w:val="BodyText"/>
      </w:pPr>
      <w:r>
        <w:rPr>
          <w:rFonts w:hint="eastAsia"/>
        </w:rPr>
        <w:t xml:space="preserve">第二，分析议题联盟形成的共同利益与内部差异。观察期内形成的主要议题联盟包括：以艾奥瓦州议员（欣森、纳恩）和农业州议员为核心的农地与农业安全联盟，其共同利益是选区农业安全叙事，内部差异在于对关税和对华农产品出口的态度；以特设委员会成员为核心的台湾政策联盟，其共同点是重申《与台湾关系法》和“六项保证”，内部差异在于共和党成员倾向于更激进的表述（如恢复正常外交关系的共同决议）；以金融服务委员会和银行委员会成员为核心的资本市场与对外投资审查联盟，其共同利益是限制中国实体进入美国资本市场，内部差异在于民主党成员更强调人权披露（苏布拉曼尼亚姆）而共和党成员更强调军事关联（纳恩、劳勒）；以新疆议题为核心的人权联盟，是两党新生代议员合作最稳定的领域。</w:t>
      </w:r>
    </w:p>
    <w:p>
      <w:pPr>
        <w:pStyle w:val="BodyText"/>
      </w:pPr>
      <w:r>
        <w:rPr>
          <w:rFonts w:hint="eastAsia"/>
        </w:rPr>
        <w:t xml:space="preserve">第三，关注委员会、党团和外部利益相关者之间的互动。中国问题特设委员会是新生代议员涉华网络的组织中枢，其4名新生代成员全部进入核心样本，委员会的调查报告直接为成员的法案提供依据，委员会主席穆勒纳尔和首席民主党成员（2026年1月起为罗·康纳〔Ro</w:t>
      </w:r>
      <w:r>
        <w:t xml:space="preserve"> </w:t>
      </w:r>
      <w:r>
        <w:rPr>
          <w:rFonts w:hint="eastAsia"/>
        </w:rPr>
        <w:t xml:space="preserve">Khanna〕）对成员法案的支持是其推进的重要条件。</w:t>
      </w:r>
      <w:r>
        <w:rPr>
          <w:rStyle w:val="FootnoteReference"/>
        </w:rPr>
        <w:footnoteReference w:id="72"/>
      </w:r>
      <w:r>
        <w:rPr>
          <w:rFonts w:hint="eastAsia"/>
        </w:rPr>
        <w:t xml:space="preserve">国会—行政部门中国委员会（纳恩为成员）和两党台湾连线等机制也是议题协调的平台。外部利益相关者方面，工会和钢铁工人组织对欣森贸易犯罪法案的支持、农业团体对农地法案的态度、科技企业对芯片出口管制的游说，均直接影响新生代议员法案的联署规模和推进速度。</w:t>
      </w:r>
    </w:p>
    <w:p>
      <w:pPr>
        <w:pStyle w:val="BodyText"/>
      </w:pPr>
      <w:r>
        <w:rPr>
          <w:rFonts w:hint="eastAsia"/>
        </w:rPr>
        <w:t xml:space="preserve">第四，防止将议员个人行动简单视为孤立事件。观察期内的多数新生代议员涉华法案存在明确的网络背景：苏布拉曼尼亚姆的新疆法案接续其前任韦克斯顿的法案；劳勒和安迪·金的量子法案为两院协调提出；哈里根的军事设施法案与其在军事委员会的修正案互为补充；欣森的贸易犯罪法案源于特设委员会的调查并由共和党和民主党的特设委员会领导人共同支持。对任何一项新出现的法案，应首先核对其是否有前身法案、配套法案、委员会调查背景和跨党派共同提案人，以此判断其所处的网络位置和推进潜力。</w:t>
      </w:r>
    </w:p>
    <w:p>
      <w:pPr>
        <w:pStyle w:val="BodyText"/>
      </w:pPr>
      <w:r>
        <w:rPr>
          <w:rFonts w:hint="eastAsia"/>
        </w:rPr>
        <w:t xml:space="preserve">第五，在合法、透明和合规前提下开展政策沟通与事实说明。新生代议员对华认知主要来自美国国内的安全和产业议程，而非对中国的专门研究，其法案中关于中国政策和行为的事实表述存在可以通过公开信息予以说明的空间。沟通的重点对象应是处于“议题培育期”、法案尚未固化的议员，以及代表农业、制造业等与对华经贸有直接利益关联选区的议员；沟通的内容应聚焦具体事实（如农产品贸易数据、供应链实际构成、具体企业的所有权结构），而非立场表态。对已进入委员会审议或院会日程的法案，沟通的边际效果有限，重点应转向对其执行环节的跟踪。</w:t>
      </w:r>
    </w:p>
    <w:bookmarkEnd w:id="73"/>
    <w:bookmarkEnd w:id="74"/>
    <w:bookmarkStart w:id="75" w:name="结语"/>
    <w:p>
      <w:pPr>
        <w:pStyle w:val="Heading1"/>
      </w:pPr>
      <w:r>
        <w:rPr>
          <w:rFonts w:hint="eastAsia"/>
        </w:rPr>
        <w:t xml:space="preserve">结语</w:t>
      </w:r>
    </w:p>
    <w:p>
      <w:pPr>
        <w:pStyle w:val="FirstParagraph"/>
      </w:pPr>
      <w:r>
        <w:rPr>
          <w:rFonts w:hint="eastAsia"/>
        </w:rPr>
        <w:t xml:space="preserve">本文以第119届国会2025年1月3日至2026年10月29日的记录为基础，对特朗普2.0时期美国新生代议员的涉华行为进行了考察。研究表明，新生代议员在国会涉华立法中并不占据超出其人数比例的份额，国会涉华立法的主要供给者仍是资深议员；但新生代议员的涉华行为高度集中于20名核心成员，这一群体以军人、律师和州级立法者为主要职业来源，倚重委员会席位而非领导职务开展行动，在议题上偏重出口管制、供应链、科技竞争和影响力渗透，在工具上以审查型和限制型为主，在策略上形成了泛安全化、小切口立法、加码推进和搭车国防授权法的群体性特征。该群体对行政部门对华决策的影响主要通过参与资深议员主导的立法约束链条和为行政部门既有措施提供法典化实现，在出口管制、对台军售和关税等白宫保留主导权的领域，其行动未能改变行政部门的决定。</w:t>
      </w:r>
    </w:p>
    <w:p>
      <w:pPr>
        <w:pStyle w:val="BodyText"/>
      </w:pPr>
      <w:r>
        <w:rPr>
          <w:rFonts w:hint="eastAsia"/>
        </w:rPr>
        <w:t xml:space="preserve">这一群体的内部差异和所受的制度约束需要得到充分重视。两党新生代议员在议题偏好和工具选择上存在可辨识的分化，共和党成员覆盖议题广泛且更多使用“中共”指称和限制型工具，民主党成员议题集中且更多采取联署和人权、产业路径；核心议员内部在高活跃度与高影响力之间存在明显错位，主提法案最多的议员未必具备最强的政策转化能力。国会的议程容量和委员会控制、共和党在涉华立法供给上的绝对优势、特朗普政府以经贸谈判为中心的对华政策优先级、企业和农业州的利益、中方反制能力以及中期选举带来的人事变动，共同构成这一群体影响力的边界。任何将新生代议员描述为统一的强硬集团或将其视为国会涉华立法主导力量的判断，都缺乏观察期内记录的支持。</w:t>
      </w:r>
    </w:p>
    <w:p>
      <w:pPr>
        <w:pStyle w:val="BodyText"/>
      </w:pPr>
      <w:r>
        <w:rPr>
          <w:rFonts w:hint="eastAsia"/>
        </w:rPr>
        <w:t xml:space="preserve">需要持续跟踪的对象可以概括为四个方面。议员层面，哈里根、纳恩、欣森、安迪·金是兼具活跃度和制度位置的重点对象，劳勒是涉华议题网络中最活跃的节点，加巴里诺、布里特、克伦肖等低活跃、高制度位置的议员需要在关键立法节点予以关注。议题层面，量子技术、人工智能模型、联网汽车、通用航空并购、电子烟和新疆业务披露是新生代议员率先或集中提出、尚未固化为法律的新兴议题。程序层面，2027财年国防授权法的两院协商、已获委员会通过的7项新生代议员法案的后续动向、欣森贸易犯罪法案在参议院的进展是本届国会剩余会期内的主要节点。信号层面，跨党派联署规模的扩大、两院配套法案的出现、委员会审议日程的安排是法案风险等级提升的可观察指标。</w:t>
      </w:r>
    </w:p>
    <w:p>
      <w:pPr>
        <w:pStyle w:val="BodyText"/>
      </w:pPr>
      <w:r>
        <w:rPr>
          <w:rFonts w:hint="eastAsia"/>
        </w:rPr>
        <w:t xml:space="preserve">本文的结论依据的是一个尚未结束的会期。2026年11月3日的中期选举将改变部分核心议员的去留和两院的多数党归属，2027年1月新一届国会开幕后，本届国会未推进的法案将被重新提出，新生代议员的资历和制度位置也将随之变化。本文所刻画的群体画像、行为图谱和影响评估，应当在新一届国会开幕、国防授权法审议和中美高层互动等节点上持续更新。</w:t>
      </w:r>
      <w:r>
        <w:t xml:space="preserve"> </w:t>
      </w:r>
      <w:r>
        <w:t xml:space="preserve"># </w:t>
      </w:r>
      <w:r>
        <w:rPr>
          <w:rFonts w:hint="eastAsia"/>
        </w:rPr>
        <w:t xml:space="preserve">附表</w:t>
      </w:r>
      <w:r>
        <w:t xml:space="preserve"> </w:t>
      </w:r>
      <w:r>
        <w:rPr>
          <w:rFonts w:hint="eastAsia"/>
        </w:rPr>
        <w:t xml:space="preserve">第119届国会新生代涉华核心议员基本情况（n=20）</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spacing w:line="240" w:lineRule="auto"/>
              <w:ind w:firstLine="0"/>
            </w:pPr>
            <w:r>
              <w:rPr>
                <w:rFonts w:hint="eastAsia"/>
                <w:sz w:val="21"/>
              </w:rPr>
              <w:t xml:space="preserve">议员</w:t>
            </w:r>
          </w:p>
        </w:tc>
        <w:tc>
          <w:tcPr/>
          <w:p>
            <w:pPr>
              <w:pStyle w:val="Compact"/>
              <w:spacing w:line="240" w:lineRule="auto"/>
              <w:ind w:firstLine="0"/>
            </w:pPr>
            <w:r>
              <w:rPr>
                <w:rFonts w:hint="eastAsia"/>
                <w:sz w:val="21"/>
              </w:rPr>
              <w:t xml:space="preserve">英文名</w:t>
            </w:r>
          </w:p>
        </w:tc>
        <w:tc>
          <w:tcPr/>
          <w:p>
            <w:pPr>
              <w:pStyle w:val="Compact"/>
              <w:spacing w:line="240" w:lineRule="auto"/>
              <w:ind w:firstLine="0"/>
            </w:pPr>
            <w:r>
              <w:rPr>
                <w:rFonts w:hint="eastAsia"/>
                <w:sz w:val="21"/>
              </w:rPr>
              <w:t xml:space="preserve">党派</w:t>
            </w:r>
          </w:p>
        </w:tc>
        <w:tc>
          <w:tcPr/>
          <w:p>
            <w:pPr>
              <w:pStyle w:val="Compact"/>
              <w:spacing w:line="240" w:lineRule="auto"/>
              <w:ind w:firstLine="0"/>
            </w:pPr>
            <w:r>
              <w:rPr>
                <w:rFonts w:hint="eastAsia"/>
                <w:sz w:val="21"/>
              </w:rPr>
              <w:t xml:space="preserve">院别（选区）</w:t>
            </w:r>
          </w:p>
        </w:tc>
        <w:tc>
          <w:tcPr/>
          <w:p>
            <w:pPr>
              <w:pStyle w:val="Compact"/>
              <w:spacing w:line="240" w:lineRule="auto"/>
              <w:ind w:firstLine="0"/>
            </w:pPr>
            <w:r>
              <w:rPr>
                <w:rFonts w:hint="eastAsia"/>
                <w:sz w:val="21"/>
              </w:rPr>
              <w:t xml:space="preserve">年龄</w:t>
            </w:r>
          </w:p>
        </w:tc>
        <w:tc>
          <w:tcPr/>
          <w:p>
            <w:pPr>
              <w:pStyle w:val="Compact"/>
              <w:spacing w:line="240" w:lineRule="auto"/>
              <w:ind w:firstLine="0"/>
            </w:pPr>
            <w:r>
              <w:rPr>
                <w:rFonts w:hint="eastAsia"/>
                <w:sz w:val="21"/>
              </w:rPr>
              <w:t xml:space="preserve">首次就任</w:t>
            </w:r>
          </w:p>
        </w:tc>
        <w:tc>
          <w:tcPr/>
          <w:p>
            <w:pPr>
              <w:pStyle w:val="Compact"/>
              <w:spacing w:line="240" w:lineRule="auto"/>
              <w:ind w:firstLine="0"/>
            </w:pPr>
            <w:r>
              <w:rPr>
                <w:rFonts w:hint="eastAsia"/>
                <w:sz w:val="21"/>
              </w:rPr>
              <w:t xml:space="preserve">第119届国会委员会</w:t>
            </w:r>
          </w:p>
        </w:tc>
        <w:tc>
          <w:tcPr/>
          <w:p>
            <w:pPr>
              <w:pStyle w:val="Compact"/>
              <w:spacing w:line="240" w:lineRule="auto"/>
              <w:ind w:firstLine="0"/>
            </w:pPr>
            <w:r>
              <w:rPr>
                <w:rFonts w:hint="eastAsia"/>
                <w:sz w:val="21"/>
              </w:rPr>
              <w:t xml:space="preserve">主提涉华法案（A类/B类）</w:t>
            </w:r>
          </w:p>
        </w:tc>
        <w:tc>
          <w:tcPr/>
          <w:p>
            <w:pPr>
              <w:pStyle w:val="Compact"/>
              <w:spacing w:line="240" w:lineRule="auto"/>
              <w:ind w:firstLine="0"/>
            </w:pPr>
            <w:r>
              <w:rPr>
                <w:rFonts w:hint="eastAsia"/>
                <w:sz w:val="21"/>
              </w:rPr>
              <w:t xml:space="preserve">联署涉华法案（其中原始联署）</w:t>
            </w:r>
          </w:p>
        </w:tc>
      </w:tr>
      <w:tr>
        <w:tc>
          <w:tcPr/>
          <w:p>
            <w:pPr>
              <w:pStyle w:val="Compact"/>
              <w:spacing w:line="240" w:lineRule="auto"/>
              <w:ind w:firstLine="0"/>
            </w:pPr>
            <w:r>
              <w:rPr>
                <w:rFonts w:hint="eastAsia"/>
                <w:sz w:val="21"/>
              </w:rPr>
              <w:t xml:space="preserve">劳勒</w:t>
            </w:r>
          </w:p>
        </w:tc>
        <w:tc>
          <w:tcPr/>
          <w:p>
            <w:pPr>
              <w:pStyle w:val="Compact"/>
              <w:spacing w:line="240" w:lineRule="auto"/>
              <w:ind w:firstLine="0"/>
            </w:pPr>
            <w:r>
              <w:rPr>
                <w:sz w:val="21"/>
              </w:rPr>
              <w:t xml:space="preserve">Michael Lawler</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众（NY-17）</w:t>
            </w:r>
          </w:p>
        </w:tc>
        <w:tc>
          <w:tcPr/>
          <w:p>
            <w:pPr>
              <w:pStyle w:val="Compact"/>
              <w:spacing w:line="240" w:lineRule="auto"/>
              <w:ind w:firstLine="0"/>
            </w:pPr>
            <w:r>
              <w:rPr>
                <w:sz w:val="21"/>
              </w:rPr>
              <w:t xml:space="preserve">38</w:t>
            </w:r>
          </w:p>
        </w:tc>
        <w:tc>
          <w:tcPr/>
          <w:p>
            <w:pPr>
              <w:pStyle w:val="Compact"/>
              <w:spacing w:line="240" w:lineRule="auto"/>
              <w:ind w:firstLine="0"/>
            </w:pPr>
            <w:r>
              <w:rPr>
                <w:sz w:val="21"/>
              </w:rPr>
              <w:t xml:space="preserve">2023</w:t>
            </w:r>
          </w:p>
        </w:tc>
        <w:tc>
          <w:tcPr/>
          <w:p>
            <w:pPr>
              <w:pStyle w:val="Compact"/>
              <w:spacing w:line="240" w:lineRule="auto"/>
              <w:ind w:firstLine="0"/>
            </w:pPr>
            <w:r>
              <w:rPr>
                <w:rFonts w:hint="eastAsia"/>
                <w:sz w:val="21"/>
              </w:rPr>
              <w:t xml:space="preserve">金融服务、外交</w:t>
            </w:r>
          </w:p>
        </w:tc>
        <w:tc>
          <w:tcPr/>
          <w:p>
            <w:pPr>
              <w:pStyle w:val="Compact"/>
              <w:spacing w:line="240" w:lineRule="auto"/>
              <w:ind w:firstLine="0"/>
            </w:pPr>
            <w:r>
              <w:rPr>
                <w:sz w:val="21"/>
              </w:rPr>
              <w:t xml:space="preserve">4/0</w:t>
            </w:r>
          </w:p>
        </w:tc>
        <w:tc>
          <w:tcPr/>
          <w:p>
            <w:pPr>
              <w:pStyle w:val="Compact"/>
              <w:spacing w:line="240" w:lineRule="auto"/>
              <w:ind w:firstLine="0"/>
            </w:pPr>
            <w:r>
              <w:rPr>
                <w:rFonts w:hint="eastAsia"/>
                <w:sz w:val="21"/>
              </w:rPr>
              <w:t xml:space="preserve">53（9）</w:t>
            </w:r>
          </w:p>
        </w:tc>
      </w:tr>
      <w:tr>
        <w:tc>
          <w:tcPr/>
          <w:p>
            <w:pPr>
              <w:pStyle w:val="Compact"/>
              <w:spacing w:line="240" w:lineRule="auto"/>
              <w:ind w:firstLine="0"/>
            </w:pPr>
            <w:r>
              <w:rPr>
                <w:rFonts w:hint="eastAsia"/>
                <w:sz w:val="21"/>
              </w:rPr>
              <w:t xml:space="preserve">哈里根</w:t>
            </w:r>
          </w:p>
        </w:tc>
        <w:tc>
          <w:tcPr/>
          <w:p>
            <w:pPr>
              <w:pStyle w:val="Compact"/>
              <w:spacing w:line="240" w:lineRule="auto"/>
              <w:ind w:firstLine="0"/>
            </w:pPr>
            <w:r>
              <w:rPr>
                <w:sz w:val="21"/>
              </w:rPr>
              <w:t xml:space="preserve">Pat Harrigan</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众（NC-10）</w:t>
            </w:r>
          </w:p>
        </w:tc>
        <w:tc>
          <w:tcPr/>
          <w:p>
            <w:pPr>
              <w:pStyle w:val="Compact"/>
              <w:spacing w:line="240" w:lineRule="auto"/>
              <w:ind w:firstLine="0"/>
            </w:pPr>
            <w:r>
              <w:rPr>
                <w:sz w:val="21"/>
              </w:rPr>
              <w:t xml:space="preserve">37</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科学、军事</w:t>
            </w:r>
          </w:p>
        </w:tc>
        <w:tc>
          <w:tcPr/>
          <w:p>
            <w:pPr>
              <w:pStyle w:val="Compact"/>
              <w:spacing w:line="240" w:lineRule="auto"/>
              <w:ind w:firstLine="0"/>
            </w:pPr>
            <w:r>
              <w:rPr>
                <w:sz w:val="21"/>
              </w:rPr>
              <w:t xml:space="preserve">2/2</w:t>
            </w:r>
          </w:p>
        </w:tc>
        <w:tc>
          <w:tcPr/>
          <w:p>
            <w:pPr>
              <w:pStyle w:val="Compact"/>
              <w:spacing w:line="240" w:lineRule="auto"/>
              <w:ind w:firstLine="0"/>
            </w:pPr>
            <w:r>
              <w:rPr>
                <w:rFonts w:hint="eastAsia"/>
                <w:sz w:val="21"/>
              </w:rPr>
              <w:t xml:space="preserve">18（5）</w:t>
            </w:r>
          </w:p>
        </w:tc>
      </w:tr>
      <w:tr>
        <w:tc>
          <w:tcPr/>
          <w:p>
            <w:pPr>
              <w:pStyle w:val="Compact"/>
              <w:spacing w:line="240" w:lineRule="auto"/>
              <w:ind w:firstLine="0"/>
            </w:pPr>
            <w:r>
              <w:rPr>
                <w:rFonts w:hint="eastAsia"/>
                <w:sz w:val="21"/>
              </w:rPr>
              <w:t xml:space="preserve">米尔斯</w:t>
            </w:r>
          </w:p>
        </w:tc>
        <w:tc>
          <w:tcPr/>
          <w:p>
            <w:pPr>
              <w:pStyle w:val="Compact"/>
              <w:spacing w:line="240" w:lineRule="auto"/>
              <w:ind w:firstLine="0"/>
            </w:pPr>
            <w:r>
              <w:rPr>
                <w:sz w:val="21"/>
              </w:rPr>
              <w:t xml:space="preserve">Cory Mills</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众（FL-7）</w:t>
            </w:r>
          </w:p>
        </w:tc>
        <w:tc>
          <w:tcPr/>
          <w:p>
            <w:pPr>
              <w:pStyle w:val="Compact"/>
              <w:spacing w:line="240" w:lineRule="auto"/>
              <w:ind w:firstLine="0"/>
            </w:pPr>
            <w:r>
              <w:rPr>
                <w:sz w:val="21"/>
              </w:rPr>
              <w:t xml:space="preserve">44</w:t>
            </w:r>
          </w:p>
        </w:tc>
        <w:tc>
          <w:tcPr/>
          <w:p>
            <w:pPr>
              <w:pStyle w:val="Compact"/>
              <w:spacing w:line="240" w:lineRule="auto"/>
              <w:ind w:firstLine="0"/>
            </w:pPr>
            <w:r>
              <w:rPr>
                <w:sz w:val="21"/>
              </w:rPr>
              <w:t xml:space="preserve">2023</w:t>
            </w:r>
          </w:p>
        </w:tc>
        <w:tc>
          <w:tcPr/>
          <w:p>
            <w:pPr>
              <w:pStyle w:val="Compact"/>
              <w:spacing w:line="240" w:lineRule="auto"/>
              <w:ind w:firstLine="0"/>
            </w:pPr>
            <w:r>
              <w:rPr>
                <w:rFonts w:hint="eastAsia"/>
                <w:sz w:val="21"/>
              </w:rPr>
              <w:t xml:space="preserve">军事、外交</w:t>
            </w:r>
          </w:p>
        </w:tc>
        <w:tc>
          <w:tcPr/>
          <w:p>
            <w:pPr>
              <w:pStyle w:val="Compact"/>
              <w:spacing w:line="240" w:lineRule="auto"/>
              <w:ind w:firstLine="0"/>
            </w:pPr>
            <w:r>
              <w:rPr>
                <w:sz w:val="21"/>
              </w:rPr>
              <w:t xml:space="preserve">3/1</w:t>
            </w:r>
          </w:p>
        </w:tc>
        <w:tc>
          <w:tcPr/>
          <w:p>
            <w:pPr>
              <w:pStyle w:val="Compact"/>
              <w:spacing w:line="240" w:lineRule="auto"/>
              <w:ind w:firstLine="0"/>
            </w:pPr>
            <w:r>
              <w:rPr>
                <w:rFonts w:hint="eastAsia"/>
                <w:sz w:val="21"/>
              </w:rPr>
              <w:t xml:space="preserve">1（0）</w:t>
            </w:r>
          </w:p>
        </w:tc>
      </w:tr>
      <w:tr>
        <w:tc>
          <w:tcPr/>
          <w:p>
            <w:pPr>
              <w:pStyle w:val="Compact"/>
              <w:spacing w:line="240" w:lineRule="auto"/>
              <w:ind w:firstLine="0"/>
            </w:pPr>
            <w:r>
              <w:rPr>
                <w:rFonts w:hint="eastAsia"/>
                <w:sz w:val="21"/>
              </w:rPr>
              <w:t xml:space="preserve">纳恩</w:t>
            </w:r>
          </w:p>
        </w:tc>
        <w:tc>
          <w:tcPr/>
          <w:p>
            <w:pPr>
              <w:pStyle w:val="Compact"/>
              <w:spacing w:line="240" w:lineRule="auto"/>
              <w:ind w:firstLine="0"/>
            </w:pPr>
            <w:r>
              <w:rPr>
                <w:sz w:val="21"/>
              </w:rPr>
              <w:t xml:space="preserve">Zachary Nunn</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众（IA-3）</w:t>
            </w:r>
          </w:p>
        </w:tc>
        <w:tc>
          <w:tcPr/>
          <w:p>
            <w:pPr>
              <w:pStyle w:val="Compact"/>
              <w:spacing w:line="240" w:lineRule="auto"/>
              <w:ind w:firstLine="0"/>
            </w:pPr>
            <w:r>
              <w:rPr>
                <w:sz w:val="21"/>
              </w:rPr>
              <w:t xml:space="preserve">45</w:t>
            </w:r>
          </w:p>
        </w:tc>
        <w:tc>
          <w:tcPr/>
          <w:p>
            <w:pPr>
              <w:pStyle w:val="Compact"/>
              <w:spacing w:line="240" w:lineRule="auto"/>
              <w:ind w:firstLine="0"/>
            </w:pPr>
            <w:r>
              <w:rPr>
                <w:sz w:val="21"/>
              </w:rPr>
              <w:t xml:space="preserve">2023</w:t>
            </w:r>
          </w:p>
        </w:tc>
        <w:tc>
          <w:tcPr/>
          <w:p>
            <w:pPr>
              <w:pStyle w:val="Compact"/>
              <w:spacing w:line="240" w:lineRule="auto"/>
              <w:ind w:firstLine="0"/>
            </w:pPr>
            <w:r>
              <w:rPr>
                <w:rFonts w:hint="eastAsia"/>
                <w:sz w:val="21"/>
              </w:rPr>
              <w:t xml:space="preserve">农业、金融服务、中国问题特设</w:t>
            </w:r>
          </w:p>
        </w:tc>
        <w:tc>
          <w:tcPr/>
          <w:p>
            <w:pPr>
              <w:pStyle w:val="Compact"/>
              <w:spacing w:line="240" w:lineRule="auto"/>
              <w:ind w:firstLine="0"/>
            </w:pPr>
            <w:r>
              <w:rPr>
                <w:sz w:val="21"/>
              </w:rPr>
              <w:t xml:space="preserve">3/0</w:t>
            </w:r>
          </w:p>
        </w:tc>
        <w:tc>
          <w:tcPr/>
          <w:p>
            <w:pPr>
              <w:pStyle w:val="Compact"/>
              <w:spacing w:line="240" w:lineRule="auto"/>
              <w:ind w:firstLine="0"/>
            </w:pPr>
            <w:r>
              <w:rPr>
                <w:rFonts w:hint="eastAsia"/>
                <w:sz w:val="21"/>
              </w:rPr>
              <w:t xml:space="preserve">20（11）</w:t>
            </w:r>
          </w:p>
        </w:tc>
      </w:tr>
      <w:tr>
        <w:tc>
          <w:tcPr/>
          <w:p>
            <w:pPr>
              <w:pStyle w:val="Compact"/>
              <w:spacing w:line="240" w:lineRule="auto"/>
              <w:ind w:firstLine="0"/>
            </w:pPr>
            <w:r>
              <w:rPr>
                <w:rFonts w:hint="eastAsia"/>
                <w:sz w:val="21"/>
              </w:rPr>
              <w:t xml:space="preserve">古登</w:t>
            </w:r>
          </w:p>
        </w:tc>
        <w:tc>
          <w:tcPr/>
          <w:p>
            <w:pPr>
              <w:pStyle w:val="Compact"/>
              <w:spacing w:line="240" w:lineRule="auto"/>
              <w:ind w:firstLine="0"/>
            </w:pPr>
            <w:r>
              <w:rPr>
                <w:sz w:val="21"/>
              </w:rPr>
              <w:t xml:space="preserve">Lance Gooden</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众（TX-5）</w:t>
            </w:r>
          </w:p>
        </w:tc>
        <w:tc>
          <w:tcPr/>
          <w:p>
            <w:pPr>
              <w:pStyle w:val="Compact"/>
              <w:spacing w:line="240" w:lineRule="auto"/>
              <w:ind w:firstLine="0"/>
            </w:pPr>
            <w:r>
              <w:rPr>
                <w:sz w:val="21"/>
              </w:rPr>
              <w:t xml:space="preserve">42</w:t>
            </w:r>
          </w:p>
        </w:tc>
        <w:tc>
          <w:tcPr/>
          <w:p>
            <w:pPr>
              <w:pStyle w:val="Compact"/>
              <w:spacing w:line="240" w:lineRule="auto"/>
              <w:ind w:firstLine="0"/>
            </w:pPr>
            <w:r>
              <w:rPr>
                <w:sz w:val="21"/>
              </w:rPr>
              <w:t xml:space="preserve">2019</w:t>
            </w:r>
          </w:p>
        </w:tc>
        <w:tc>
          <w:tcPr/>
          <w:p>
            <w:pPr>
              <w:pStyle w:val="Compact"/>
              <w:spacing w:line="240" w:lineRule="auto"/>
              <w:ind w:firstLine="0"/>
            </w:pPr>
            <w:r>
              <w:rPr>
                <w:rFonts w:hint="eastAsia"/>
                <w:sz w:val="21"/>
              </w:rPr>
              <w:t xml:space="preserve">司法、军事</w:t>
            </w:r>
          </w:p>
        </w:tc>
        <w:tc>
          <w:tcPr/>
          <w:p>
            <w:pPr>
              <w:pStyle w:val="Compact"/>
              <w:spacing w:line="240" w:lineRule="auto"/>
              <w:ind w:firstLine="0"/>
            </w:pPr>
            <w:r>
              <w:rPr>
                <w:sz w:val="21"/>
              </w:rPr>
              <w:t xml:space="preserve">2/1</w:t>
            </w:r>
          </w:p>
        </w:tc>
        <w:tc>
          <w:tcPr/>
          <w:p>
            <w:pPr>
              <w:pStyle w:val="Compact"/>
              <w:spacing w:line="240" w:lineRule="auto"/>
              <w:ind w:firstLine="0"/>
            </w:pPr>
            <w:r>
              <w:rPr>
                <w:rFonts w:hint="eastAsia"/>
                <w:sz w:val="21"/>
              </w:rPr>
              <w:t xml:space="preserve">11（6）</w:t>
            </w:r>
          </w:p>
        </w:tc>
      </w:tr>
      <w:tr>
        <w:tc>
          <w:tcPr/>
          <w:p>
            <w:pPr>
              <w:pStyle w:val="Compact"/>
              <w:spacing w:line="240" w:lineRule="auto"/>
              <w:ind w:firstLine="0"/>
            </w:pPr>
            <w:r>
              <w:rPr>
                <w:rFonts w:hint="eastAsia"/>
                <w:sz w:val="21"/>
              </w:rPr>
              <w:t xml:space="preserve">欣森</w:t>
            </w:r>
          </w:p>
        </w:tc>
        <w:tc>
          <w:tcPr/>
          <w:p>
            <w:pPr>
              <w:pStyle w:val="Compact"/>
              <w:spacing w:line="240" w:lineRule="auto"/>
              <w:ind w:firstLine="0"/>
            </w:pPr>
            <w:r>
              <w:rPr>
                <w:sz w:val="21"/>
              </w:rPr>
              <w:t xml:space="preserve">Ashley Hinson</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众（IA-2）</w:t>
            </w:r>
          </w:p>
        </w:tc>
        <w:tc>
          <w:tcPr/>
          <w:p>
            <w:pPr>
              <w:pStyle w:val="Compact"/>
              <w:spacing w:line="240" w:lineRule="auto"/>
              <w:ind w:firstLine="0"/>
            </w:pPr>
            <w:r>
              <w:rPr>
                <w:sz w:val="21"/>
              </w:rPr>
              <w:t xml:space="preserve">41</w:t>
            </w:r>
          </w:p>
        </w:tc>
        <w:tc>
          <w:tcPr/>
          <w:p>
            <w:pPr>
              <w:pStyle w:val="Compact"/>
              <w:spacing w:line="240" w:lineRule="auto"/>
              <w:ind w:firstLine="0"/>
            </w:pPr>
            <w:r>
              <w:rPr>
                <w:sz w:val="21"/>
              </w:rPr>
              <w:t xml:space="preserve">2021</w:t>
            </w:r>
          </w:p>
        </w:tc>
        <w:tc>
          <w:tcPr/>
          <w:p>
            <w:pPr>
              <w:pStyle w:val="Compact"/>
              <w:spacing w:line="240" w:lineRule="auto"/>
              <w:ind w:firstLine="0"/>
            </w:pPr>
            <w:r>
              <w:rPr>
                <w:rFonts w:hint="eastAsia"/>
                <w:sz w:val="21"/>
              </w:rPr>
              <w:t xml:space="preserve">拨款、中国问题特设</w:t>
            </w:r>
          </w:p>
        </w:tc>
        <w:tc>
          <w:tcPr/>
          <w:p>
            <w:pPr>
              <w:pStyle w:val="Compact"/>
              <w:spacing w:line="240" w:lineRule="auto"/>
              <w:ind w:firstLine="0"/>
            </w:pPr>
            <w:r>
              <w:rPr>
                <w:sz w:val="21"/>
              </w:rPr>
              <w:t xml:space="preserve">3/0</w:t>
            </w:r>
          </w:p>
        </w:tc>
        <w:tc>
          <w:tcPr/>
          <w:p>
            <w:pPr>
              <w:pStyle w:val="Compact"/>
              <w:spacing w:line="240" w:lineRule="auto"/>
              <w:ind w:firstLine="0"/>
            </w:pPr>
            <w:r>
              <w:rPr>
                <w:rFonts w:hint="eastAsia"/>
                <w:sz w:val="21"/>
              </w:rPr>
              <w:t xml:space="preserve">11（6）</w:t>
            </w:r>
          </w:p>
        </w:tc>
      </w:tr>
      <w:tr>
        <w:tc>
          <w:tcPr/>
          <w:p>
            <w:pPr>
              <w:pStyle w:val="Compact"/>
              <w:spacing w:line="240" w:lineRule="auto"/>
              <w:ind w:firstLine="0"/>
            </w:pPr>
            <w:r>
              <w:rPr>
                <w:rFonts w:hint="eastAsia"/>
                <w:sz w:val="21"/>
              </w:rPr>
              <w:t xml:space="preserve">霍利</w:t>
            </w:r>
          </w:p>
        </w:tc>
        <w:tc>
          <w:tcPr/>
          <w:p>
            <w:pPr>
              <w:pStyle w:val="Compact"/>
              <w:spacing w:line="240" w:lineRule="auto"/>
              <w:ind w:firstLine="0"/>
            </w:pPr>
            <w:r>
              <w:rPr>
                <w:sz w:val="21"/>
              </w:rPr>
              <w:t xml:space="preserve">Josh Hawley</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参（MO）</w:t>
            </w:r>
          </w:p>
        </w:tc>
        <w:tc>
          <w:tcPr/>
          <w:p>
            <w:pPr>
              <w:pStyle w:val="Compact"/>
              <w:spacing w:line="240" w:lineRule="auto"/>
              <w:ind w:firstLine="0"/>
            </w:pPr>
            <w:r>
              <w:rPr>
                <w:sz w:val="21"/>
              </w:rPr>
              <w:t xml:space="preserve">45</w:t>
            </w:r>
          </w:p>
        </w:tc>
        <w:tc>
          <w:tcPr/>
          <w:p>
            <w:pPr>
              <w:pStyle w:val="Compact"/>
              <w:spacing w:line="240" w:lineRule="auto"/>
              <w:ind w:firstLine="0"/>
            </w:pPr>
            <w:r>
              <w:rPr>
                <w:sz w:val="21"/>
              </w:rPr>
              <w:t xml:space="preserve">2019</w:t>
            </w:r>
          </w:p>
        </w:tc>
        <w:tc>
          <w:tcPr/>
          <w:p>
            <w:pPr>
              <w:pStyle w:val="Compact"/>
              <w:spacing w:line="240" w:lineRule="auto"/>
              <w:ind w:firstLine="0"/>
            </w:pPr>
            <w:r>
              <w:rPr>
                <w:rFonts w:hint="eastAsia"/>
                <w:sz w:val="21"/>
              </w:rPr>
              <w:t xml:space="preserve">卫生教育劳工养老金、国土安全与政府事务、小企业、司法</w:t>
            </w:r>
          </w:p>
        </w:tc>
        <w:tc>
          <w:tcPr/>
          <w:p>
            <w:pPr>
              <w:pStyle w:val="Compact"/>
              <w:spacing w:line="240" w:lineRule="auto"/>
              <w:ind w:firstLine="0"/>
            </w:pPr>
            <w:r>
              <w:rPr>
                <w:sz w:val="21"/>
              </w:rPr>
              <w:t xml:space="preserve">2/1</w:t>
            </w:r>
          </w:p>
        </w:tc>
        <w:tc>
          <w:tcPr/>
          <w:p>
            <w:pPr>
              <w:pStyle w:val="Compact"/>
              <w:spacing w:line="240" w:lineRule="auto"/>
              <w:ind w:firstLine="0"/>
            </w:pPr>
            <w:r>
              <w:rPr>
                <w:rFonts w:hint="eastAsia"/>
                <w:sz w:val="21"/>
              </w:rPr>
              <w:t xml:space="preserve">5（4）</w:t>
            </w:r>
          </w:p>
        </w:tc>
      </w:tr>
      <w:tr>
        <w:tc>
          <w:tcPr/>
          <w:p>
            <w:pPr>
              <w:pStyle w:val="Compact"/>
              <w:spacing w:line="240" w:lineRule="auto"/>
              <w:ind w:firstLine="0"/>
            </w:pPr>
            <w:r>
              <w:rPr>
                <w:rFonts w:hint="eastAsia"/>
                <w:sz w:val="21"/>
              </w:rPr>
              <w:t xml:space="preserve">苏布拉曼尼亚姆</w:t>
            </w:r>
          </w:p>
        </w:tc>
        <w:tc>
          <w:tcPr/>
          <w:p>
            <w:pPr>
              <w:pStyle w:val="Compact"/>
              <w:spacing w:line="240" w:lineRule="auto"/>
              <w:ind w:firstLine="0"/>
            </w:pPr>
            <w:r>
              <w:rPr>
                <w:sz w:val="21"/>
              </w:rPr>
              <w:t xml:space="preserve">Suhas Subramanyam</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众（VA-10）</w:t>
            </w:r>
          </w:p>
        </w:tc>
        <w:tc>
          <w:tcPr/>
          <w:p>
            <w:pPr>
              <w:pStyle w:val="Compact"/>
              <w:spacing w:line="240" w:lineRule="auto"/>
              <w:ind w:firstLine="0"/>
            </w:pPr>
            <w:r>
              <w:rPr>
                <w:sz w:val="21"/>
              </w:rPr>
              <w:t xml:space="preserve">38</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科学、监督</w:t>
            </w:r>
          </w:p>
        </w:tc>
        <w:tc>
          <w:tcPr/>
          <w:p>
            <w:pPr>
              <w:pStyle w:val="Compact"/>
              <w:spacing w:line="240" w:lineRule="auto"/>
              <w:ind w:firstLine="0"/>
            </w:pPr>
            <w:r>
              <w:rPr>
                <w:sz w:val="21"/>
              </w:rPr>
              <w:t xml:space="preserve">3/0</w:t>
            </w:r>
          </w:p>
        </w:tc>
        <w:tc>
          <w:tcPr/>
          <w:p>
            <w:pPr>
              <w:pStyle w:val="Compact"/>
              <w:spacing w:line="240" w:lineRule="auto"/>
              <w:ind w:firstLine="0"/>
            </w:pPr>
            <w:r>
              <w:rPr>
                <w:rFonts w:hint="eastAsia"/>
                <w:sz w:val="21"/>
              </w:rPr>
              <w:t xml:space="preserve">5（2）</w:t>
            </w:r>
          </w:p>
        </w:tc>
      </w:tr>
      <w:tr>
        <w:tc>
          <w:tcPr/>
          <w:p>
            <w:pPr>
              <w:pStyle w:val="Compact"/>
              <w:spacing w:line="240" w:lineRule="auto"/>
              <w:ind w:firstLine="0"/>
            </w:pPr>
            <w:r>
              <w:rPr>
                <w:rFonts w:hint="eastAsia"/>
                <w:sz w:val="21"/>
              </w:rPr>
              <w:t xml:space="preserve">史蒂文斯</w:t>
            </w:r>
          </w:p>
        </w:tc>
        <w:tc>
          <w:tcPr/>
          <w:p>
            <w:pPr>
              <w:pStyle w:val="Compact"/>
              <w:spacing w:line="240" w:lineRule="auto"/>
              <w:ind w:firstLine="0"/>
            </w:pPr>
            <w:r>
              <w:rPr>
                <w:sz w:val="21"/>
              </w:rPr>
              <w:t xml:space="preserve">Haley Stevens</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众（MI-11）</w:t>
            </w:r>
          </w:p>
        </w:tc>
        <w:tc>
          <w:tcPr/>
          <w:p>
            <w:pPr>
              <w:pStyle w:val="Compact"/>
              <w:spacing w:line="240" w:lineRule="auto"/>
              <w:ind w:firstLine="0"/>
            </w:pPr>
            <w:r>
              <w:rPr>
                <w:sz w:val="21"/>
              </w:rPr>
              <w:t xml:space="preserve">41</w:t>
            </w:r>
          </w:p>
        </w:tc>
        <w:tc>
          <w:tcPr/>
          <w:p>
            <w:pPr>
              <w:pStyle w:val="Compact"/>
              <w:spacing w:line="240" w:lineRule="auto"/>
              <w:ind w:firstLine="0"/>
            </w:pPr>
            <w:r>
              <w:rPr>
                <w:sz w:val="21"/>
              </w:rPr>
              <w:t xml:space="preserve">2019</w:t>
            </w:r>
          </w:p>
        </w:tc>
        <w:tc>
          <w:tcPr/>
          <w:p>
            <w:pPr>
              <w:pStyle w:val="Compact"/>
              <w:spacing w:line="240" w:lineRule="auto"/>
              <w:ind w:firstLine="0"/>
            </w:pPr>
            <w:r>
              <w:rPr>
                <w:rFonts w:hint="eastAsia"/>
                <w:sz w:val="21"/>
              </w:rPr>
              <w:t xml:space="preserve">科学、教育与劳动力、中国问题特设</w:t>
            </w:r>
          </w:p>
        </w:tc>
        <w:tc>
          <w:tcPr/>
          <w:p>
            <w:pPr>
              <w:pStyle w:val="Compact"/>
              <w:spacing w:line="240" w:lineRule="auto"/>
              <w:ind w:firstLine="0"/>
            </w:pPr>
            <w:r>
              <w:rPr>
                <w:sz w:val="21"/>
              </w:rPr>
              <w:t xml:space="preserve">2/1</w:t>
            </w:r>
          </w:p>
        </w:tc>
        <w:tc>
          <w:tcPr/>
          <w:p>
            <w:pPr>
              <w:pStyle w:val="Compact"/>
              <w:spacing w:line="240" w:lineRule="auto"/>
              <w:ind w:firstLine="0"/>
            </w:pPr>
            <w:r>
              <w:rPr>
                <w:rFonts w:hint="eastAsia"/>
                <w:sz w:val="21"/>
              </w:rPr>
              <w:t xml:space="preserve">4（3）</w:t>
            </w:r>
          </w:p>
        </w:tc>
      </w:tr>
      <w:tr>
        <w:tc>
          <w:tcPr/>
          <w:p>
            <w:pPr>
              <w:pStyle w:val="Compact"/>
              <w:spacing w:line="240" w:lineRule="auto"/>
              <w:ind w:firstLine="0"/>
            </w:pPr>
            <w:r>
              <w:rPr>
                <w:rFonts w:hint="eastAsia"/>
                <w:sz w:val="21"/>
              </w:rPr>
              <w:t xml:space="preserve">托雷斯</w:t>
            </w:r>
          </w:p>
        </w:tc>
        <w:tc>
          <w:tcPr/>
          <w:p>
            <w:pPr>
              <w:pStyle w:val="Compact"/>
              <w:spacing w:line="240" w:lineRule="auto"/>
              <w:ind w:firstLine="0"/>
            </w:pPr>
            <w:r>
              <w:rPr>
                <w:sz w:val="21"/>
              </w:rPr>
              <w:t xml:space="preserve">Ritchie Torres</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众（NY-15）</w:t>
            </w:r>
          </w:p>
        </w:tc>
        <w:tc>
          <w:tcPr/>
          <w:p>
            <w:pPr>
              <w:pStyle w:val="Compact"/>
              <w:spacing w:line="240" w:lineRule="auto"/>
              <w:ind w:firstLine="0"/>
            </w:pPr>
            <w:r>
              <w:rPr>
                <w:sz w:val="21"/>
              </w:rPr>
              <w:t xml:space="preserve">36</w:t>
            </w:r>
          </w:p>
        </w:tc>
        <w:tc>
          <w:tcPr/>
          <w:p>
            <w:pPr>
              <w:pStyle w:val="Compact"/>
              <w:spacing w:line="240" w:lineRule="auto"/>
              <w:ind w:firstLine="0"/>
            </w:pPr>
            <w:r>
              <w:rPr>
                <w:sz w:val="21"/>
              </w:rPr>
              <w:t xml:space="preserve">2021</w:t>
            </w:r>
          </w:p>
        </w:tc>
        <w:tc>
          <w:tcPr/>
          <w:p>
            <w:pPr>
              <w:pStyle w:val="Compact"/>
              <w:spacing w:line="240" w:lineRule="auto"/>
              <w:ind w:firstLine="0"/>
            </w:pPr>
            <w:r>
              <w:rPr>
                <w:rFonts w:hint="eastAsia"/>
                <w:sz w:val="21"/>
              </w:rPr>
              <w:t xml:space="preserve">金融服务、中国问题特设</w:t>
            </w:r>
          </w:p>
        </w:tc>
        <w:tc>
          <w:tcPr/>
          <w:p>
            <w:pPr>
              <w:pStyle w:val="Compact"/>
              <w:spacing w:line="240" w:lineRule="auto"/>
              <w:ind w:firstLine="0"/>
            </w:pPr>
            <w:r>
              <w:rPr>
                <w:sz w:val="21"/>
              </w:rPr>
              <w:t xml:space="preserve">0/2</w:t>
            </w:r>
          </w:p>
        </w:tc>
        <w:tc>
          <w:tcPr/>
          <w:p>
            <w:pPr>
              <w:pStyle w:val="Compact"/>
              <w:spacing w:line="240" w:lineRule="auto"/>
              <w:ind w:firstLine="0"/>
            </w:pPr>
            <w:r>
              <w:rPr>
                <w:rFonts w:hint="eastAsia"/>
                <w:sz w:val="21"/>
              </w:rPr>
              <w:t xml:space="preserve">7（5）</w:t>
            </w:r>
          </w:p>
        </w:tc>
      </w:tr>
      <w:tr>
        <w:tc>
          <w:tcPr/>
          <w:p>
            <w:pPr>
              <w:pStyle w:val="Compact"/>
              <w:spacing w:line="240" w:lineRule="auto"/>
              <w:ind w:firstLine="0"/>
            </w:pPr>
            <w:r>
              <w:rPr>
                <w:rFonts w:hint="eastAsia"/>
                <w:sz w:val="21"/>
              </w:rPr>
              <w:t xml:space="preserve">埃文斯</w:t>
            </w:r>
          </w:p>
        </w:tc>
        <w:tc>
          <w:tcPr/>
          <w:p>
            <w:pPr>
              <w:pStyle w:val="Compact"/>
              <w:spacing w:line="240" w:lineRule="auto"/>
              <w:ind w:firstLine="0"/>
            </w:pPr>
            <w:r>
              <w:rPr>
                <w:sz w:val="21"/>
              </w:rPr>
              <w:t xml:space="preserve">Gabe Evans</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众（CO-8）</w:t>
            </w:r>
          </w:p>
        </w:tc>
        <w:tc>
          <w:tcPr/>
          <w:p>
            <w:pPr>
              <w:pStyle w:val="Compact"/>
              <w:spacing w:line="240" w:lineRule="auto"/>
              <w:ind w:firstLine="0"/>
            </w:pPr>
            <w:r>
              <w:rPr>
                <w:sz w:val="21"/>
              </w:rPr>
              <w:t xml:space="preserve">38</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国土安全、能源与商务</w:t>
            </w:r>
          </w:p>
        </w:tc>
        <w:tc>
          <w:tcPr/>
          <w:p>
            <w:pPr>
              <w:pStyle w:val="Compact"/>
              <w:spacing w:line="240" w:lineRule="auto"/>
              <w:ind w:firstLine="0"/>
            </w:pPr>
            <w:r>
              <w:rPr>
                <w:sz w:val="21"/>
              </w:rPr>
              <w:t xml:space="preserve">0/2</w:t>
            </w:r>
          </w:p>
        </w:tc>
        <w:tc>
          <w:tcPr/>
          <w:p>
            <w:pPr>
              <w:pStyle w:val="Compact"/>
              <w:spacing w:line="240" w:lineRule="auto"/>
              <w:ind w:firstLine="0"/>
            </w:pPr>
            <w:r>
              <w:rPr>
                <w:rFonts w:hint="eastAsia"/>
                <w:sz w:val="21"/>
              </w:rPr>
              <w:t xml:space="preserve">7（4）</w:t>
            </w:r>
          </w:p>
        </w:tc>
      </w:tr>
      <w:tr>
        <w:tc>
          <w:tcPr/>
          <w:p>
            <w:pPr>
              <w:pStyle w:val="Compact"/>
              <w:spacing w:line="240" w:lineRule="auto"/>
              <w:ind w:firstLine="0"/>
            </w:pPr>
            <w:r>
              <w:rPr>
                <w:rFonts w:hint="eastAsia"/>
                <w:sz w:val="21"/>
              </w:rPr>
              <w:t xml:space="preserve">米勒</w:t>
            </w:r>
          </w:p>
        </w:tc>
        <w:tc>
          <w:tcPr/>
          <w:p>
            <w:pPr>
              <w:pStyle w:val="Compact"/>
              <w:spacing w:line="240" w:lineRule="auto"/>
              <w:ind w:firstLine="0"/>
            </w:pPr>
            <w:r>
              <w:rPr>
                <w:sz w:val="21"/>
              </w:rPr>
              <w:t xml:space="preserve">Max Miller</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众（OH-7）</w:t>
            </w:r>
          </w:p>
        </w:tc>
        <w:tc>
          <w:tcPr/>
          <w:p>
            <w:pPr>
              <w:pStyle w:val="Compact"/>
              <w:spacing w:line="240" w:lineRule="auto"/>
              <w:ind w:firstLine="0"/>
            </w:pPr>
            <w:r>
              <w:rPr>
                <w:sz w:val="21"/>
              </w:rPr>
              <w:t xml:space="preserve">36</w:t>
            </w:r>
          </w:p>
        </w:tc>
        <w:tc>
          <w:tcPr/>
          <w:p>
            <w:pPr>
              <w:pStyle w:val="Compact"/>
              <w:spacing w:line="240" w:lineRule="auto"/>
              <w:ind w:firstLine="0"/>
            </w:pPr>
            <w:r>
              <w:rPr>
                <w:sz w:val="21"/>
              </w:rPr>
              <w:t xml:space="preserve">2023</w:t>
            </w:r>
          </w:p>
        </w:tc>
        <w:tc>
          <w:tcPr/>
          <w:p>
            <w:pPr>
              <w:pStyle w:val="Compact"/>
              <w:spacing w:line="240" w:lineRule="auto"/>
              <w:ind w:firstLine="0"/>
            </w:pPr>
            <w:r>
              <w:rPr>
                <w:rFonts w:hint="eastAsia"/>
                <w:sz w:val="21"/>
              </w:rPr>
              <w:t xml:space="preserve">筹款、外交</w:t>
            </w:r>
          </w:p>
        </w:tc>
        <w:tc>
          <w:tcPr/>
          <w:p>
            <w:pPr>
              <w:pStyle w:val="Compact"/>
              <w:spacing w:line="240" w:lineRule="auto"/>
              <w:ind w:firstLine="0"/>
            </w:pPr>
            <w:r>
              <w:rPr>
                <w:sz w:val="21"/>
              </w:rPr>
              <w:t xml:space="preserve">2/0</w:t>
            </w:r>
          </w:p>
        </w:tc>
        <w:tc>
          <w:tcPr/>
          <w:p>
            <w:pPr>
              <w:pStyle w:val="Compact"/>
              <w:spacing w:line="240" w:lineRule="auto"/>
              <w:ind w:firstLine="0"/>
            </w:pPr>
            <w:r>
              <w:rPr>
                <w:rFonts w:hint="eastAsia"/>
                <w:sz w:val="21"/>
              </w:rPr>
              <w:t xml:space="preserve">6（1）</w:t>
            </w:r>
          </w:p>
        </w:tc>
      </w:tr>
      <w:tr>
        <w:tc>
          <w:tcPr/>
          <w:p>
            <w:pPr>
              <w:pStyle w:val="Compact"/>
              <w:spacing w:line="240" w:lineRule="auto"/>
              <w:ind w:firstLine="0"/>
            </w:pPr>
            <w:r>
              <w:rPr>
                <w:rFonts w:hint="eastAsia"/>
                <w:sz w:val="21"/>
              </w:rPr>
              <w:t xml:space="preserve">克伦肖</w:t>
            </w:r>
          </w:p>
        </w:tc>
        <w:tc>
          <w:tcPr/>
          <w:p>
            <w:pPr>
              <w:pStyle w:val="Compact"/>
              <w:spacing w:line="240" w:lineRule="auto"/>
              <w:ind w:firstLine="0"/>
            </w:pPr>
            <w:r>
              <w:rPr>
                <w:sz w:val="21"/>
              </w:rPr>
              <w:t xml:space="preserve">Dan Crenshaw</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众（TX-2）</w:t>
            </w:r>
          </w:p>
        </w:tc>
        <w:tc>
          <w:tcPr/>
          <w:p>
            <w:pPr>
              <w:pStyle w:val="Compact"/>
              <w:spacing w:line="240" w:lineRule="auto"/>
              <w:ind w:firstLine="0"/>
            </w:pPr>
            <w:r>
              <w:rPr>
                <w:sz w:val="21"/>
              </w:rPr>
              <w:t xml:space="preserve">40</w:t>
            </w:r>
          </w:p>
        </w:tc>
        <w:tc>
          <w:tcPr/>
          <w:p>
            <w:pPr>
              <w:pStyle w:val="Compact"/>
              <w:spacing w:line="240" w:lineRule="auto"/>
              <w:ind w:firstLine="0"/>
            </w:pPr>
            <w:r>
              <w:rPr>
                <w:sz w:val="21"/>
              </w:rPr>
              <w:t xml:space="preserve">2019</w:t>
            </w:r>
          </w:p>
        </w:tc>
        <w:tc>
          <w:tcPr/>
          <w:p>
            <w:pPr>
              <w:pStyle w:val="Compact"/>
              <w:spacing w:line="240" w:lineRule="auto"/>
              <w:ind w:firstLine="0"/>
            </w:pPr>
            <w:r>
              <w:rPr>
                <w:rFonts w:hint="eastAsia"/>
                <w:sz w:val="21"/>
              </w:rPr>
              <w:t xml:space="preserve">能源与商务、情报</w:t>
            </w:r>
          </w:p>
        </w:tc>
        <w:tc>
          <w:tcPr/>
          <w:p>
            <w:pPr>
              <w:pStyle w:val="Compact"/>
              <w:spacing w:line="240" w:lineRule="auto"/>
              <w:ind w:firstLine="0"/>
            </w:pPr>
            <w:r>
              <w:rPr>
                <w:sz w:val="21"/>
              </w:rPr>
              <w:t xml:space="preserve">0/2</w:t>
            </w:r>
          </w:p>
        </w:tc>
        <w:tc>
          <w:tcPr/>
          <w:p>
            <w:pPr>
              <w:pStyle w:val="Compact"/>
              <w:spacing w:line="240" w:lineRule="auto"/>
              <w:ind w:firstLine="0"/>
            </w:pPr>
            <w:r>
              <w:rPr>
                <w:rFonts w:hint="eastAsia"/>
                <w:sz w:val="21"/>
              </w:rPr>
              <w:t xml:space="preserve">4（4）</w:t>
            </w:r>
          </w:p>
        </w:tc>
      </w:tr>
      <w:tr>
        <w:tc>
          <w:tcPr/>
          <w:p>
            <w:pPr>
              <w:pStyle w:val="Compact"/>
              <w:spacing w:line="240" w:lineRule="auto"/>
              <w:ind w:firstLine="0"/>
            </w:pPr>
            <w:r>
              <w:rPr>
                <w:rFonts w:hint="eastAsia"/>
                <w:sz w:val="21"/>
              </w:rPr>
              <w:t xml:space="preserve">安迪·金</w:t>
            </w:r>
          </w:p>
        </w:tc>
        <w:tc>
          <w:tcPr/>
          <w:p>
            <w:pPr>
              <w:pStyle w:val="Compact"/>
              <w:spacing w:line="240" w:lineRule="auto"/>
              <w:ind w:firstLine="0"/>
            </w:pPr>
            <w:r>
              <w:rPr>
                <w:sz w:val="21"/>
              </w:rPr>
              <w:t xml:space="preserve">Andy Kim</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参（NJ）</w:t>
            </w:r>
          </w:p>
        </w:tc>
        <w:tc>
          <w:tcPr/>
          <w:p>
            <w:pPr>
              <w:pStyle w:val="Compact"/>
              <w:spacing w:line="240" w:lineRule="auto"/>
              <w:ind w:firstLine="0"/>
            </w:pPr>
            <w:r>
              <w:rPr>
                <w:sz w:val="21"/>
              </w:rPr>
              <w:t xml:space="preserve">42</w:t>
            </w:r>
          </w:p>
        </w:tc>
        <w:tc>
          <w:tcPr/>
          <w:p>
            <w:pPr>
              <w:pStyle w:val="Compact"/>
              <w:spacing w:line="240" w:lineRule="auto"/>
              <w:ind w:firstLine="0"/>
            </w:pPr>
            <w:r>
              <w:rPr>
                <w:sz w:val="21"/>
              </w:rPr>
              <w:t xml:space="preserve">2019</w:t>
            </w:r>
          </w:p>
        </w:tc>
        <w:tc>
          <w:tcPr/>
          <w:p>
            <w:pPr>
              <w:pStyle w:val="Compact"/>
              <w:spacing w:line="240" w:lineRule="auto"/>
              <w:ind w:firstLine="0"/>
            </w:pPr>
            <w:r>
              <w:rPr>
                <w:rFonts w:hint="eastAsia"/>
                <w:sz w:val="21"/>
              </w:rPr>
              <w:t xml:space="preserve">银行、商务、卫生教育劳工养老金、国土安全与政府事务</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12（8）</w:t>
            </w:r>
          </w:p>
        </w:tc>
      </w:tr>
      <w:tr>
        <w:tc>
          <w:tcPr/>
          <w:p>
            <w:pPr>
              <w:pStyle w:val="Compact"/>
              <w:spacing w:line="240" w:lineRule="auto"/>
              <w:ind w:firstLine="0"/>
            </w:pPr>
            <w:r>
              <w:rPr>
                <w:rFonts w:hint="eastAsia"/>
                <w:sz w:val="21"/>
              </w:rPr>
              <w:t xml:space="preserve">沃金肖</w:t>
            </w:r>
          </w:p>
        </w:tc>
        <w:tc>
          <w:tcPr/>
          <w:p>
            <w:pPr>
              <w:pStyle w:val="Compact"/>
              <w:spacing w:line="240" w:lineRule="auto"/>
              <w:ind w:firstLine="0"/>
            </w:pPr>
            <w:r>
              <w:rPr>
                <w:sz w:val="21"/>
              </w:rPr>
              <w:t xml:space="preserve">James Walkinshaw</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众（VA-11）</w:t>
            </w:r>
          </w:p>
        </w:tc>
        <w:tc>
          <w:tcPr/>
          <w:p>
            <w:pPr>
              <w:pStyle w:val="Compact"/>
              <w:spacing w:line="240" w:lineRule="auto"/>
              <w:ind w:firstLine="0"/>
            </w:pPr>
            <w:r>
              <w:rPr>
                <w:sz w:val="21"/>
              </w:rPr>
              <w:t xml:space="preserve">42</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国土安全、监督</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8（1）</w:t>
            </w:r>
          </w:p>
        </w:tc>
      </w:tr>
      <w:tr>
        <w:tc>
          <w:tcPr/>
          <w:p>
            <w:pPr>
              <w:pStyle w:val="Compact"/>
              <w:spacing w:line="240" w:lineRule="auto"/>
              <w:ind w:firstLine="0"/>
            </w:pPr>
            <w:r>
              <w:rPr>
                <w:rFonts w:hint="eastAsia"/>
                <w:sz w:val="21"/>
              </w:rPr>
              <w:t xml:space="preserve">莫斯科维茨</w:t>
            </w:r>
          </w:p>
        </w:tc>
        <w:tc>
          <w:tcPr/>
          <w:p>
            <w:pPr>
              <w:pStyle w:val="Compact"/>
              <w:spacing w:line="240" w:lineRule="auto"/>
              <w:ind w:firstLine="0"/>
            </w:pPr>
            <w:r>
              <w:rPr>
                <w:sz w:val="21"/>
              </w:rPr>
              <w:t xml:space="preserve">Jared Moskowitz</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众（FL-23）</w:t>
            </w:r>
          </w:p>
        </w:tc>
        <w:tc>
          <w:tcPr/>
          <w:p>
            <w:pPr>
              <w:pStyle w:val="Compact"/>
              <w:spacing w:line="240" w:lineRule="auto"/>
              <w:ind w:firstLine="0"/>
            </w:pPr>
            <w:r>
              <w:rPr>
                <w:sz w:val="21"/>
              </w:rPr>
              <w:t xml:space="preserve">44</w:t>
            </w:r>
          </w:p>
        </w:tc>
        <w:tc>
          <w:tcPr/>
          <w:p>
            <w:pPr>
              <w:pStyle w:val="Compact"/>
              <w:spacing w:line="240" w:lineRule="auto"/>
              <w:ind w:firstLine="0"/>
            </w:pPr>
            <w:r>
              <w:rPr>
                <w:sz w:val="21"/>
              </w:rPr>
              <w:t xml:space="preserve">2023</w:t>
            </w:r>
          </w:p>
        </w:tc>
        <w:tc>
          <w:tcPr/>
          <w:p>
            <w:pPr>
              <w:pStyle w:val="Compact"/>
              <w:spacing w:line="240" w:lineRule="auto"/>
              <w:ind w:firstLine="0"/>
            </w:pPr>
            <w:r>
              <w:rPr>
                <w:rFonts w:hint="eastAsia"/>
                <w:sz w:val="21"/>
              </w:rPr>
              <w:t xml:space="preserve">司法、外交</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7（3）</w:t>
            </w:r>
          </w:p>
        </w:tc>
      </w:tr>
      <w:tr>
        <w:tc>
          <w:tcPr/>
          <w:p>
            <w:pPr>
              <w:pStyle w:val="Compact"/>
              <w:spacing w:line="240" w:lineRule="auto"/>
              <w:ind w:firstLine="0"/>
            </w:pPr>
            <w:r>
              <w:rPr>
                <w:rFonts w:hint="eastAsia"/>
                <w:sz w:val="21"/>
              </w:rPr>
              <w:t xml:space="preserve">希伊</w:t>
            </w:r>
          </w:p>
        </w:tc>
        <w:tc>
          <w:tcPr/>
          <w:p>
            <w:pPr>
              <w:pStyle w:val="Compact"/>
              <w:spacing w:line="240" w:lineRule="auto"/>
              <w:ind w:firstLine="0"/>
            </w:pPr>
            <w:r>
              <w:rPr>
                <w:sz w:val="21"/>
              </w:rPr>
              <w:t xml:space="preserve">Tim Sheehy</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参（MT）</w:t>
            </w:r>
          </w:p>
        </w:tc>
        <w:tc>
          <w:tcPr/>
          <w:p>
            <w:pPr>
              <w:pStyle w:val="Compact"/>
              <w:spacing w:line="240" w:lineRule="auto"/>
              <w:ind w:firstLine="0"/>
            </w:pPr>
            <w:r>
              <w:rPr>
                <w:sz w:val="21"/>
              </w:rPr>
              <w:t xml:space="preserve">39</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军事、商务</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7（2）</w:t>
            </w:r>
          </w:p>
        </w:tc>
      </w:tr>
      <w:tr>
        <w:tc>
          <w:tcPr/>
          <w:p>
            <w:pPr>
              <w:pStyle w:val="Compact"/>
              <w:spacing w:line="240" w:lineRule="auto"/>
              <w:ind w:firstLine="0"/>
            </w:pPr>
            <w:r>
              <w:rPr>
                <w:rFonts w:hint="eastAsia"/>
                <w:sz w:val="21"/>
              </w:rPr>
              <w:t xml:space="preserve">哈马德</w:t>
            </w:r>
          </w:p>
        </w:tc>
        <w:tc>
          <w:tcPr/>
          <w:p>
            <w:pPr>
              <w:pStyle w:val="Compact"/>
              <w:spacing w:line="240" w:lineRule="auto"/>
              <w:ind w:firstLine="0"/>
            </w:pPr>
            <w:r>
              <w:rPr>
                <w:sz w:val="21"/>
              </w:rPr>
              <w:t xml:space="preserve">Abraham Hamadeh</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众（AZ-8）</w:t>
            </w:r>
          </w:p>
        </w:tc>
        <w:tc>
          <w:tcPr/>
          <w:p>
            <w:pPr>
              <w:pStyle w:val="Compact"/>
              <w:spacing w:line="240" w:lineRule="auto"/>
              <w:ind w:firstLine="0"/>
            </w:pPr>
            <w:r>
              <w:rPr>
                <w:sz w:val="21"/>
              </w:rPr>
              <w:t xml:space="preserve">33</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军事</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6（3）</w:t>
            </w:r>
          </w:p>
        </w:tc>
      </w:tr>
      <w:tr>
        <w:tc>
          <w:tcPr/>
          <w:p>
            <w:pPr>
              <w:pStyle w:val="Compact"/>
              <w:spacing w:line="240" w:lineRule="auto"/>
              <w:ind w:firstLine="0"/>
            </w:pPr>
            <w:r>
              <w:rPr>
                <w:rFonts w:hint="eastAsia"/>
                <w:sz w:val="21"/>
              </w:rPr>
              <w:t xml:space="preserve">陈</w:t>
            </w:r>
          </w:p>
        </w:tc>
        <w:tc>
          <w:tcPr/>
          <w:p>
            <w:pPr>
              <w:pStyle w:val="Compact"/>
              <w:spacing w:line="240" w:lineRule="auto"/>
              <w:ind w:firstLine="0"/>
            </w:pPr>
            <w:r>
              <w:rPr>
                <w:sz w:val="21"/>
              </w:rPr>
              <w:t xml:space="preserve">Derek Tran</w:t>
            </w:r>
          </w:p>
        </w:tc>
        <w:tc>
          <w:tcPr/>
          <w:p>
            <w:pPr>
              <w:pStyle w:val="Compact"/>
              <w:spacing w:line="240" w:lineRule="auto"/>
              <w:ind w:firstLine="0"/>
            </w:pPr>
            <w:r>
              <w:rPr>
                <w:rFonts w:hint="eastAsia"/>
                <w:sz w:val="21"/>
              </w:rPr>
              <w:t xml:space="preserve">民主党</w:t>
            </w:r>
          </w:p>
        </w:tc>
        <w:tc>
          <w:tcPr/>
          <w:p>
            <w:pPr>
              <w:pStyle w:val="Compact"/>
              <w:spacing w:line="240" w:lineRule="auto"/>
              <w:ind w:firstLine="0"/>
            </w:pPr>
            <w:r>
              <w:rPr>
                <w:rFonts w:hint="eastAsia"/>
                <w:sz w:val="21"/>
              </w:rPr>
              <w:t xml:space="preserve">众（CA-45）</w:t>
            </w:r>
          </w:p>
        </w:tc>
        <w:tc>
          <w:tcPr/>
          <w:p>
            <w:pPr>
              <w:pStyle w:val="Compact"/>
              <w:spacing w:line="240" w:lineRule="auto"/>
              <w:ind w:firstLine="0"/>
            </w:pPr>
            <w:r>
              <w:rPr>
                <w:sz w:val="21"/>
              </w:rPr>
              <w:t xml:space="preserve">44</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军事、小企业</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6（1）</w:t>
            </w:r>
          </w:p>
        </w:tc>
      </w:tr>
      <w:tr>
        <w:tc>
          <w:tcPr/>
          <w:p>
            <w:pPr>
              <w:pStyle w:val="Compact"/>
              <w:spacing w:line="240" w:lineRule="auto"/>
              <w:ind w:firstLine="0"/>
            </w:pPr>
            <w:r>
              <w:rPr>
                <w:rFonts w:hint="eastAsia"/>
                <w:sz w:val="21"/>
              </w:rPr>
              <w:t xml:space="preserve">穆尔</w:t>
            </w:r>
          </w:p>
        </w:tc>
        <w:tc>
          <w:tcPr/>
          <w:p>
            <w:pPr>
              <w:pStyle w:val="Compact"/>
              <w:spacing w:line="240" w:lineRule="auto"/>
              <w:ind w:firstLine="0"/>
            </w:pPr>
            <w:r>
              <w:rPr>
                <w:sz w:val="21"/>
              </w:rPr>
              <w:t xml:space="preserve">Riley Moore</w:t>
            </w:r>
          </w:p>
        </w:tc>
        <w:tc>
          <w:tcPr/>
          <w:p>
            <w:pPr>
              <w:pStyle w:val="Compact"/>
              <w:spacing w:line="240" w:lineRule="auto"/>
              <w:ind w:firstLine="0"/>
            </w:pPr>
            <w:r>
              <w:rPr>
                <w:rFonts w:hint="eastAsia"/>
                <w:sz w:val="21"/>
              </w:rPr>
              <w:t xml:space="preserve">共和党</w:t>
            </w:r>
          </w:p>
        </w:tc>
        <w:tc>
          <w:tcPr/>
          <w:p>
            <w:pPr>
              <w:pStyle w:val="Compact"/>
              <w:spacing w:line="240" w:lineRule="auto"/>
              <w:ind w:firstLine="0"/>
            </w:pPr>
            <w:r>
              <w:rPr>
                <w:rFonts w:hint="eastAsia"/>
                <w:sz w:val="21"/>
              </w:rPr>
              <w:t xml:space="preserve">众（WV-2）</w:t>
            </w:r>
          </w:p>
        </w:tc>
        <w:tc>
          <w:tcPr/>
          <w:p>
            <w:pPr>
              <w:pStyle w:val="Compact"/>
              <w:spacing w:line="240" w:lineRule="auto"/>
              <w:ind w:firstLine="0"/>
            </w:pPr>
            <w:r>
              <w:rPr>
                <w:sz w:val="21"/>
              </w:rPr>
              <w:t xml:space="preserve">44</w:t>
            </w:r>
          </w:p>
        </w:tc>
        <w:tc>
          <w:tcPr/>
          <w:p>
            <w:pPr>
              <w:pStyle w:val="Compact"/>
              <w:spacing w:line="240" w:lineRule="auto"/>
              <w:ind w:firstLine="0"/>
            </w:pPr>
            <w:r>
              <w:rPr>
                <w:sz w:val="21"/>
              </w:rPr>
              <w:t xml:space="preserve">2025</w:t>
            </w:r>
          </w:p>
        </w:tc>
        <w:tc>
          <w:tcPr/>
          <w:p>
            <w:pPr>
              <w:pStyle w:val="Compact"/>
              <w:spacing w:line="240" w:lineRule="auto"/>
              <w:ind w:firstLine="0"/>
            </w:pPr>
            <w:r>
              <w:rPr>
                <w:rFonts w:hint="eastAsia"/>
                <w:sz w:val="21"/>
              </w:rPr>
              <w:t xml:space="preserve">拨款</w:t>
            </w:r>
          </w:p>
        </w:tc>
        <w:tc>
          <w:tcPr/>
          <w:p>
            <w:pPr>
              <w:pStyle w:val="Compact"/>
              <w:spacing w:line="240" w:lineRule="auto"/>
              <w:ind w:firstLine="0"/>
            </w:pPr>
            <w:r>
              <w:rPr>
                <w:sz w:val="21"/>
              </w:rPr>
              <w:t xml:space="preserve">1/0</w:t>
            </w:r>
          </w:p>
        </w:tc>
        <w:tc>
          <w:tcPr/>
          <w:p>
            <w:pPr>
              <w:pStyle w:val="Compact"/>
              <w:spacing w:line="240" w:lineRule="auto"/>
              <w:ind w:firstLine="0"/>
            </w:pPr>
            <w:r>
              <w:rPr>
                <w:rFonts w:hint="eastAsia"/>
                <w:sz w:val="21"/>
              </w:rPr>
              <w:t xml:space="preserve">5（3）</w:t>
            </w:r>
          </w:p>
        </w:tc>
      </w:tr>
    </w:tbl>
    <w:p>
      <w:pPr>
        <w:pStyle w:val="BodyText"/>
      </w:pPr>
      <w:r>
        <w:rPr>
          <w:rFonts w:hint="eastAsia"/>
        </w:rPr>
        <w:t xml:space="preserve">注：年龄按2025年1月3日计算；首次就任指首次就任国会议员的年份（安迪·金2024年12月转任参议员）；委员会不含道德、退伍军人、老龄等与涉华事务关联较弱的委员会；统计截止日为2026年10月29日。</w:t>
      </w:r>
    </w:p>
    <w:p>
      <w:pPr>
        <w:pStyle w:val="BodyText"/>
      </w:pPr>
      <w:r>
        <w:rPr>
          <w:rFonts w:hint="eastAsia"/>
        </w:rPr>
        <w:t xml:space="preserve">资料来源：笔者根据Congress.gov、GovInfo及众议院书记官办公室委员会名单整理。</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参见白宫：《特朗普总统与中国达成历史性贸易协议》（Fact</w:t>
      </w:r>
      <w:r>
        <w:t xml:space="preserve"> </w:t>
      </w:r>
      <w:r>
        <w:rPr>
          <w:rFonts w:hint="eastAsia"/>
        </w:rPr>
        <w:t xml:space="preserve">Sheet），2025年11月1日，https://www.whitehouse.gov/fact-sheets/；美国贸易代表办公室关于“关联企业规则”暂停实施的说明，2025年11月。</w:t>
      </w:r>
    </w:p>
  </w:footnote>
  <w:footnote w:id="10">
    <w:p>
      <w:pPr>
        <w:pStyle w:val="FootnoteText"/>
      </w:pPr>
      <w:r>
        <w:rPr>
          <w:rStyle w:val="FootnoteReference"/>
        </w:rPr>
        <w:footnoteRef/>
      </w:r>
      <w:r>
        <w:t xml:space="preserve"> </w:t>
      </w:r>
      <w:r>
        <w:rPr>
          <w:i/>
          <w:iCs/>
        </w:rPr>
        <w:t xml:space="preserve">Learning Resources, Inc. v. Trump</w:t>
      </w:r>
      <w:r>
        <w:t xml:space="preserve">, Supreme Court of the United States, decided February 20, </w:t>
      </w:r>
      <w:r>
        <w:rPr>
          <w:rFonts w:hint="eastAsia"/>
        </w:rPr>
        <w:t xml:space="preserve">2026，判决书见美国最高法院网站，https://www.supremecourt.gov/opinions/。</w:t>
      </w:r>
    </w:p>
  </w:footnote>
  <w:footnote w:id="11">
    <w:p>
      <w:pPr>
        <w:pStyle w:val="FootnoteText"/>
      </w:pPr>
      <w:r>
        <w:rPr>
          <w:rStyle w:val="FootnoteReference"/>
        </w:rPr>
        <w:footnoteRef/>
      </w:r>
      <w:r>
        <w:t xml:space="preserve"> </w:t>
      </w:r>
      <w:r>
        <w:rPr>
          <w:rFonts w:hint="eastAsia"/>
        </w:rPr>
        <w:t xml:space="preserve">关于“谈判筹码”的表述及国会反应，见路透社、美联社2026年5月15日至6月上旬的系列报道；美国海军代理部长于5月21日在国会听证中使用“暂停”一词描述对台军售状态，国务卿马尔科·鲁比奥（Marco</w:t>
      </w:r>
      <w:r>
        <w:t xml:space="preserve"> </w:t>
      </w:r>
      <w:r>
        <w:rPr>
          <w:rFonts w:hint="eastAsia"/>
        </w:rPr>
        <w:t xml:space="preserve">Rubio）于6月3日表示相关军售“处于审查之中”。</w:t>
      </w:r>
    </w:p>
  </w:footnote>
  <w:footnote w:id="12">
    <w:p>
      <w:pPr>
        <w:pStyle w:val="FootnoteText"/>
      </w:pPr>
      <w:r>
        <w:rPr>
          <w:rStyle w:val="FootnoteReference"/>
        </w:rPr>
        <w:footnoteRef/>
      </w:r>
      <w:r>
        <w:t xml:space="preserve"> </w:t>
      </w:r>
      <w:r>
        <w:t xml:space="preserve">Public Law 119-60,</w:t>
      </w:r>
      <w:r>
        <w:t xml:space="preserve"> </w:t>
      </w:r>
      <w:r>
        <w:rPr>
          <w:i/>
          <w:iCs/>
        </w:rPr>
        <w:t xml:space="preserve">National Defense Authorization Act for Fiscal Year 2026</w:t>
      </w:r>
      <w:r>
        <w:t xml:space="preserve">, S.1071, 119th Congress, signed December 18, 2025, https://www.congress.gov/bill/119th-congress/senate-bill/1071。</w:t>
      </w:r>
    </w:p>
  </w:footnote>
  <w:footnote w:id="13">
    <w:p>
      <w:pPr>
        <w:pStyle w:val="FootnoteText"/>
      </w:pPr>
      <w:r>
        <w:rPr>
          <w:rStyle w:val="FootnoteReference"/>
        </w:rPr>
        <w:footnoteRef/>
      </w:r>
      <w:r>
        <w:t xml:space="preserve"> </w:t>
      </w:r>
      <w:r>
        <w:rPr>
          <w:rFonts w:hint="eastAsia"/>
        </w:rPr>
        <w:t xml:space="preserve">皮尤研究中心关于第119届国会代际构成的统计，转引自张腾军：《美国新生代国会议员的涉华行为及其影响探析》，《当代美国评论》2026年第1期，第48页。</w:t>
      </w:r>
    </w:p>
  </w:footnote>
  <w:footnote w:id="14">
    <w:p>
      <w:pPr>
        <w:pStyle w:val="FootnoteText"/>
      </w:pPr>
      <w:r>
        <w:rPr>
          <w:rStyle w:val="FootnoteReference"/>
        </w:rPr>
        <w:footnoteRef/>
      </w:r>
      <w:r>
        <w:t xml:space="preserve"> </w:t>
      </w:r>
      <w:r>
        <w:rPr>
          <w:rFonts w:hint="eastAsia"/>
        </w:rPr>
        <w:t xml:space="preserve">张腾军：《美国新生代国会议员的涉华行为及其影响探析》，《当代美国评论》2026年第1期，第47～67页。</w:t>
      </w:r>
    </w:p>
  </w:footnote>
  <w:footnote w:id="17">
    <w:p>
      <w:pPr>
        <w:pStyle w:val="FootnoteText"/>
      </w:pPr>
      <w:r>
        <w:rPr>
          <w:rStyle w:val="FootnoteReference"/>
        </w:rPr>
        <w:footnoteRef/>
      </w:r>
      <w:r>
        <w:t xml:space="preserve"> </w:t>
      </w:r>
      <w:r>
        <w:rPr>
          <w:rFonts w:hint="eastAsia"/>
        </w:rPr>
        <w:t xml:space="preserve">议员出生日期、任期起止及所属院别来自国会官方传记目录（Biographical</w:t>
      </w:r>
      <w:r>
        <w:t xml:space="preserve"> Directory of the United States </w:t>
      </w:r>
      <w:r>
        <w:rPr>
          <w:rFonts w:hint="eastAsia"/>
        </w:rPr>
        <w:t xml:space="preserve">Congress）与unitedstates项目维护的议员数据集，https://bioguide.congress.gov/。平均年龄按2025年1月3日计算，含观察期内离任和补选上任者。</w:t>
      </w:r>
    </w:p>
  </w:footnote>
  <w:footnote w:id="19">
    <w:p>
      <w:pPr>
        <w:pStyle w:val="FootnoteText"/>
      </w:pPr>
      <w:r>
        <w:rPr>
          <w:rStyle w:val="FootnoteReference"/>
        </w:rPr>
        <w:footnoteRef/>
      </w:r>
      <w:r>
        <w:t xml:space="preserve"> </w:t>
      </w:r>
      <w:r>
        <w:rPr>
          <w:rFonts w:hint="eastAsia"/>
        </w:rPr>
        <w:t xml:space="preserve">按此标准，拉塞尔·弗赖（Russell</w:t>
      </w:r>
      <w:r>
        <w:t xml:space="preserve"> </w:t>
      </w:r>
      <w:r>
        <w:rPr>
          <w:rFonts w:hint="eastAsia"/>
        </w:rPr>
        <w:t xml:space="preserve">Fry）、贾里德·戈尔登（Jared</w:t>
      </w:r>
      <w:r>
        <w:t xml:space="preserve"> </w:t>
      </w:r>
      <w:r>
        <w:rPr>
          <w:rFonts w:hint="eastAsia"/>
        </w:rPr>
        <w:t xml:space="preserve">Golden）、杰克·奥金克洛斯（Jake</w:t>
      </w:r>
      <w:r>
        <w:t xml:space="preserve"> </w:t>
      </w:r>
      <w:r>
        <w:rPr>
          <w:rFonts w:hint="eastAsia"/>
        </w:rPr>
        <w:t xml:space="preserve">Auchincloss）等仅提出1项涉华法案且联署不足5项者，以及布兰登·吉尔（Brandon</w:t>
      </w:r>
      <w:r>
        <w:t xml:space="preserve"> </w:t>
      </w:r>
      <w:r>
        <w:rPr>
          <w:rFonts w:hint="eastAsia"/>
        </w:rPr>
        <w:t xml:space="preserve">Gill）、艾迪生·麦克道尔（Addison</w:t>
      </w:r>
      <w:r>
        <w:t xml:space="preserve"> </w:t>
      </w:r>
      <w:r>
        <w:rPr>
          <w:rFonts w:hint="eastAsia"/>
        </w:rPr>
        <w:t xml:space="preserve">McDowell）等仅提出1项B类法案者，未纳入核心样本，但其行为计入基础样本的总体统计。</w:t>
      </w:r>
    </w:p>
  </w:footnote>
  <w:footnote w:id="22">
    <w:p>
      <w:pPr>
        <w:pStyle w:val="FootnoteText"/>
      </w:pPr>
      <w:r>
        <w:rPr>
          <w:rStyle w:val="FootnoteReference"/>
        </w:rPr>
        <w:footnoteRef/>
      </w:r>
      <w:r>
        <w:t xml:space="preserve"> </w:t>
      </w:r>
      <w:r>
        <w:rPr>
          <w:rFonts w:hint="eastAsia"/>
        </w:rPr>
        <w:t xml:space="preserve">统计单位与编码规则如下：区分主提案、共同提案（联署）、修正案与院会发言，分别统计，不混算为“提案数”；对两院配套法案和重复提交的法案分别保留记录但在分析中注明；同一法案涉及多个议题或政策工具的，采用多标签编码；立法进展划分为“提出未推进”“委员会审议”“委员会通过”“院会通过”“成为法律”五个阶段，并单独标注“并入其他法律”的情形。</w:t>
      </w:r>
      <w:r>
        <w:t xml:space="preserve"> </w:t>
      </w:r>
      <w:r>
        <w:t xml:space="preserve"># </w:t>
      </w:r>
      <w:r>
        <w:rPr>
          <w:rFonts w:hint="eastAsia"/>
        </w:rPr>
        <w:t xml:space="preserve">二、新生代涉华议员的群体画像与政治特征</w:t>
      </w:r>
    </w:p>
  </w:footnote>
  <w:footnote w:id="28">
    <w:p>
      <w:pPr>
        <w:pStyle w:val="FootnoteText"/>
      </w:pPr>
      <w:r>
        <w:rPr>
          <w:rStyle w:val="FootnoteReference"/>
        </w:rPr>
        <w:footnoteRef/>
      </w:r>
      <w:r>
        <w:t xml:space="preserve"> </w:t>
      </w:r>
      <w:r>
        <w:rPr>
          <w:rFonts w:hint="eastAsia"/>
        </w:rPr>
        <w:t xml:space="preserve">众议院军事委员会2026财年国防授权法修正案追踪记录，https://armedservices.house.gov/；哈里根办公室新闻稿，2025年7月；纳恩办公室新闻稿，2025年9月。</w:t>
      </w:r>
      <w:r>
        <w:t xml:space="preserve"> </w:t>
      </w:r>
      <w:r>
        <w:t xml:space="preserve"># </w:t>
      </w:r>
      <w:r>
        <w:rPr>
          <w:rFonts w:hint="eastAsia"/>
        </w:rPr>
        <w:t xml:space="preserve">三、新生代议员涉华行为的总体图谱</w:t>
      </w:r>
    </w:p>
  </w:footnote>
  <w:footnote w:id="30">
    <w:p>
      <w:pPr>
        <w:pStyle w:val="FootnoteText"/>
      </w:pPr>
      <w:r>
        <w:rPr>
          <w:rStyle w:val="FootnoteReference"/>
        </w:rPr>
        <w:footnoteRef/>
      </w:r>
      <w:r>
        <w:t xml:space="preserve"> </w:t>
      </w:r>
      <w:r>
        <w:t xml:space="preserve">H.R.1512,</w:t>
      </w:r>
      <w:r>
        <w:t xml:space="preserve"> </w:t>
      </w:r>
      <w:r>
        <w:rPr>
          <w:i/>
          <w:iCs/>
        </w:rPr>
        <w:t xml:space="preserve">Taiwan Assurance Implementation Act</w:t>
      </w:r>
      <w:r>
        <w:t xml:space="preserve">, Public Law 119-45, https://www.congress.gov/bill/119th-congress/house-bill/1512。</w:t>
      </w:r>
    </w:p>
  </w:footnote>
  <w:footnote w:id="35">
    <w:p>
      <w:pPr>
        <w:pStyle w:val="FootnoteText"/>
      </w:pPr>
      <w:r>
        <w:rPr>
          <w:rStyle w:val="FootnoteReference"/>
        </w:rPr>
        <w:footnoteRef/>
      </w:r>
      <w:r>
        <w:t xml:space="preserve"> </w:t>
      </w:r>
      <w:r>
        <w:rPr>
          <w:rFonts w:hint="eastAsia"/>
        </w:rPr>
        <w:t xml:space="preserve">《2026财年国防授权法》第八十三编A分编（台湾非歧视）、第八十五编（《COINS法》），见Public</w:t>
      </w:r>
      <w:r>
        <w:t xml:space="preserve"> Law </w:t>
      </w:r>
      <w:r>
        <w:rPr>
          <w:rFonts w:hint="eastAsia"/>
        </w:rPr>
        <w:t xml:space="preserve">119-60；财政部据《COINS法》于2026年10月22日发布对外投资规则拟议规则，见Federal</w:t>
      </w:r>
      <w:r>
        <w:t xml:space="preserve"> Register。</w:t>
      </w:r>
    </w:p>
  </w:footnote>
  <w:footnote w:id="36">
    <w:p>
      <w:pPr>
        <w:pStyle w:val="FootnoteText"/>
      </w:pPr>
      <w:r>
        <w:rPr>
          <w:rStyle w:val="FootnoteReference"/>
        </w:rPr>
        <w:footnoteRef/>
      </w:r>
      <w:r>
        <w:t xml:space="preserve"> </w:t>
      </w:r>
      <w:r>
        <w:rPr>
          <w:rFonts w:hint="eastAsia"/>
        </w:rPr>
        <w:t xml:space="preserve">苏布拉曼尼亚姆关于H.R.8712的院会介绍性发言，见Congressional</w:t>
      </w:r>
      <w:r>
        <w:t xml:space="preserve"> Record, </w:t>
      </w:r>
      <w:r>
        <w:rPr>
          <w:rFonts w:hint="eastAsia"/>
        </w:rPr>
        <w:t xml:space="preserve">H3461；哈里根、纳恩、欣森办公室相关新闻稿见各议员官网。</w:t>
      </w:r>
      <w:r>
        <w:t xml:space="preserve"> </w:t>
      </w:r>
      <w:r>
        <w:t xml:space="preserve"># </w:t>
      </w:r>
      <w:r>
        <w:rPr>
          <w:rFonts w:hint="eastAsia"/>
        </w:rPr>
        <w:t xml:space="preserve">四、代表性新生代涉华议员个案分析</w:t>
      </w:r>
    </w:p>
  </w:footnote>
  <w:footnote w:id="39">
    <w:p>
      <w:pPr>
        <w:pStyle w:val="FootnoteText"/>
      </w:pPr>
      <w:r>
        <w:rPr>
          <w:rStyle w:val="FootnoteReference"/>
        </w:rPr>
        <w:footnoteRef/>
      </w:r>
      <w:r>
        <w:t xml:space="preserve"> </w:t>
      </w:r>
      <w:r>
        <w:t xml:space="preserve">Center for Effective Lawmaking, 118th Congress Legislative Effectiveness Scores, https://thelawmakers.org/。</w:t>
      </w:r>
    </w:p>
  </w:footnote>
  <w:footnote w:id="41">
    <w:p>
      <w:pPr>
        <w:pStyle w:val="FootnoteText"/>
      </w:pPr>
      <w:r>
        <w:rPr>
          <w:rStyle w:val="FootnoteReference"/>
        </w:rPr>
        <w:footnoteRef/>
      </w:r>
      <w:r>
        <w:t xml:space="preserve"> </w:t>
      </w:r>
      <w:r>
        <w:rPr>
          <w:rFonts w:hint="eastAsia"/>
        </w:rPr>
        <w:t xml:space="preserve">众议院军事委员会2026财年国防授权法修正案记录，https://armedservices.house.gov/；纳恩办公室新闻稿，2025年9月。</w:t>
      </w:r>
    </w:p>
  </w:footnote>
  <w:footnote w:id="43">
    <w:p>
      <w:pPr>
        <w:pStyle w:val="FootnoteText"/>
      </w:pPr>
      <w:r>
        <w:rPr>
          <w:rStyle w:val="FootnoteReference"/>
        </w:rPr>
        <w:footnoteRef/>
      </w:r>
      <w:r>
        <w:t xml:space="preserve"> </w:t>
      </w:r>
      <w:r>
        <w:rPr>
          <w:rFonts w:hint="eastAsia"/>
        </w:rPr>
        <w:t xml:space="preserve">艾奥瓦州州务卿办公室2026年6月2日初选官方结果，https://sos.iowa.gov/。</w:t>
      </w:r>
    </w:p>
  </w:footnote>
  <w:footnote w:id="44">
    <w:p>
      <w:pPr>
        <w:pStyle w:val="FootnoteText"/>
      </w:pPr>
      <w:r>
        <w:rPr>
          <w:rStyle w:val="FootnoteReference"/>
        </w:rPr>
        <w:footnoteRef/>
      </w:r>
      <w:r>
        <w:t xml:space="preserve"> </w:t>
      </w:r>
      <w:r>
        <w:t xml:space="preserve">H.R.1869,</w:t>
      </w:r>
      <w:r>
        <w:t xml:space="preserve"> </w:t>
      </w:r>
      <w:r>
        <w:rPr>
          <w:i/>
          <w:iCs/>
        </w:rPr>
        <w:t xml:space="preserve">Protecting American Industry and Labor from International Trade Crimes Act</w:t>
      </w:r>
      <w:r>
        <w:t xml:space="preserve">, 119th Congress, </w:t>
      </w:r>
      <w:r>
        <w:rPr>
          <w:rFonts w:hint="eastAsia"/>
        </w:rPr>
        <w:t xml:space="preserve">https://www.congress.gov/bill/119th-congress/house-bill/1869；H.</w:t>
      </w:r>
      <w:r>
        <w:t xml:space="preserve"> Rept. </w:t>
      </w:r>
      <w:r>
        <w:rPr>
          <w:rFonts w:hint="eastAsia"/>
        </w:rPr>
        <w:t xml:space="preserve">119-782；院会辩论记录见Congressional</w:t>
      </w:r>
      <w:r>
        <w:t xml:space="preserve"> Record, Vol. 172, No. 137, August 31, 2026, pp. H5273–H5275。</w:t>
      </w:r>
    </w:p>
  </w:footnote>
  <w:footnote w:id="46">
    <w:p>
      <w:pPr>
        <w:pStyle w:val="FootnoteText"/>
      </w:pPr>
      <w:r>
        <w:rPr>
          <w:rStyle w:val="FootnoteReference"/>
        </w:rPr>
        <w:footnoteRef/>
      </w:r>
      <w:r>
        <w:t xml:space="preserve"> </w:t>
      </w:r>
      <w:r>
        <w:t xml:space="preserve">H.R.2551,</w:t>
      </w:r>
      <w:r>
        <w:t xml:space="preserve"> </w:t>
      </w:r>
      <w:r>
        <w:rPr>
          <w:i/>
          <w:iCs/>
        </w:rPr>
        <w:t xml:space="preserve">Military Installation Retail Security Act of 2025</w:t>
      </w:r>
      <w:r>
        <w:rPr>
          <w:rFonts w:hint="eastAsia"/>
        </w:rPr>
        <w:t xml:space="preserve">；H.R.9430,</w:t>
      </w:r>
      <w:r>
        <w:t xml:space="preserve"> </w:t>
      </w:r>
      <w:r>
        <w:rPr>
          <w:i/>
          <w:iCs/>
        </w:rPr>
        <w:t xml:space="preserve">American Drone Manufacturing Dominance Act of 2026</w:t>
      </w:r>
      <w:r>
        <w:rPr>
          <w:rFonts w:hint="eastAsia"/>
        </w:rPr>
        <w:t xml:space="preserve">，均见Congress.gov；哈里根办公室关于军事委员会修正案的新闻稿，2025年7月。</w:t>
      </w:r>
    </w:p>
  </w:footnote>
  <w:footnote w:id="50">
    <w:p>
      <w:pPr>
        <w:pStyle w:val="FootnoteText"/>
      </w:pPr>
      <w:r>
        <w:rPr>
          <w:rStyle w:val="FootnoteReference"/>
        </w:rPr>
        <w:footnoteRef/>
      </w:r>
      <w:r>
        <w:t xml:space="preserve"> </w:t>
      </w:r>
      <w:r>
        <w:rPr>
          <w:rFonts w:hint="eastAsia"/>
        </w:rPr>
        <w:t xml:space="preserve">密歇根州州务卿办公室2026年8月4日初选官方结果，https://www.michigan.gov/sos/。</w:t>
      </w:r>
    </w:p>
  </w:footnote>
  <w:footnote w:id="52">
    <w:p>
      <w:pPr>
        <w:pStyle w:val="FootnoteText"/>
      </w:pPr>
      <w:r>
        <w:rPr>
          <w:rStyle w:val="FootnoteReference"/>
        </w:rPr>
        <w:footnoteRef/>
      </w:r>
      <w:r>
        <w:t xml:space="preserve"> </w:t>
      </w:r>
      <w:r>
        <w:t xml:space="preserve">S.1053,</w:t>
      </w:r>
      <w:r>
        <w:t xml:space="preserve"> </w:t>
      </w:r>
      <w:r>
        <w:rPr>
          <w:i/>
          <w:iCs/>
        </w:rPr>
        <w:t xml:space="preserve">FIGHT China Act of 2025</w:t>
      </w:r>
      <w:r>
        <w:rPr>
          <w:rFonts w:hint="eastAsia"/>
        </w:rPr>
        <w:t xml:space="preserve">；S.3374,</w:t>
      </w:r>
      <w:r>
        <w:t xml:space="preserve"> </w:t>
      </w:r>
      <w:r>
        <w:rPr>
          <w:i/>
          <w:iCs/>
        </w:rPr>
        <w:t xml:space="preserve">SAFE Chips Act of 2025</w:t>
      </w:r>
      <w:r>
        <w:rPr>
          <w:rFonts w:hint="eastAsia"/>
        </w:rPr>
        <w:t xml:space="preserve">；S.4281,</w:t>
      </w:r>
      <w:r>
        <w:t xml:space="preserve"> </w:t>
      </w:r>
      <w:r>
        <w:rPr>
          <w:i/>
          <w:iCs/>
        </w:rPr>
        <w:t xml:space="preserve">MATCH Act</w:t>
      </w:r>
      <w:r>
        <w:rPr>
          <w:rFonts w:hint="eastAsia"/>
        </w:rPr>
        <w:t xml:space="preserve">，均见Congress.gov。关于英伟达H20、H200芯片对华出口许可的政策变化，见美国商务部工业与安全局2026年1月15日规则及路透社2025年8月、12月相关报道。</w:t>
      </w:r>
      <w:r>
        <w:t xml:space="preserve"> </w:t>
      </w:r>
      <w:r>
        <w:t xml:space="preserve"># </w:t>
      </w:r>
      <w:r>
        <w:rPr>
          <w:rFonts w:hint="eastAsia"/>
        </w:rPr>
        <w:t xml:space="preserve">五、涉华决策影响及其制约因素</w:t>
      </w:r>
    </w:p>
  </w:footnote>
  <w:footnote w:id="56">
    <w:p>
      <w:pPr>
        <w:pStyle w:val="FootnoteText"/>
      </w:pPr>
      <w:r>
        <w:rPr>
          <w:rStyle w:val="FootnoteReference"/>
        </w:rPr>
        <w:footnoteRef/>
      </w:r>
      <w:r>
        <w:t xml:space="preserve"> </w:t>
      </w:r>
      <w:r>
        <w:t xml:space="preserve">Public Law 119-60, Sec. </w:t>
      </w:r>
      <w:r>
        <w:rPr>
          <w:rFonts w:hint="eastAsia"/>
        </w:rPr>
        <w:t xml:space="preserve">1262–1266（中国军工企业、台湾安全合作）,</w:t>
      </w:r>
      <w:r>
        <w:t xml:space="preserve"> Title LXXXIII Subtitle </w:t>
      </w:r>
      <w:r>
        <w:rPr>
          <w:rFonts w:hint="eastAsia"/>
        </w:rPr>
        <w:t xml:space="preserve">A（台湾非歧视）,</w:t>
      </w:r>
      <w:r>
        <w:t xml:space="preserve"> Title </w:t>
      </w:r>
      <w:r>
        <w:rPr>
          <w:rFonts w:hint="eastAsia"/>
        </w:rPr>
        <w:t xml:space="preserve">LXXXV（COINS</w:t>
      </w:r>
      <w:r>
        <w:t xml:space="preserve"> </w:t>
      </w:r>
      <w:r>
        <w:rPr>
          <w:rFonts w:hint="eastAsia"/>
        </w:rPr>
        <w:t xml:space="preserve">Act）,</w:t>
      </w:r>
      <w:r>
        <w:t xml:space="preserve"> Sec. </w:t>
      </w:r>
      <w:r>
        <w:rPr>
          <w:rFonts w:hint="eastAsia"/>
        </w:rPr>
        <w:t xml:space="preserve">851（生物安全）；Public</w:t>
      </w:r>
      <w:r>
        <w:t xml:space="preserve"> Law </w:t>
      </w:r>
      <w:r>
        <w:rPr>
          <w:rFonts w:hint="eastAsia"/>
        </w:rPr>
        <w:t xml:space="preserve">119-75（2026财年国防拨款法）。</w:t>
      </w:r>
    </w:p>
  </w:footnote>
  <w:footnote w:id="57">
    <w:p>
      <w:pPr>
        <w:pStyle w:val="FootnoteText"/>
      </w:pPr>
      <w:r>
        <w:rPr>
          <w:rStyle w:val="FootnoteReference"/>
        </w:rPr>
        <w:footnoteRef/>
      </w:r>
      <w:r>
        <w:t xml:space="preserve"> </w:t>
      </w:r>
      <w:r>
        <w:rPr>
          <w:rFonts w:hint="eastAsia"/>
        </w:rPr>
        <w:t xml:space="preserve">欣森院会发言，Congressional</w:t>
      </w:r>
      <w:r>
        <w:t xml:space="preserve"> Record, Vol. 172, No. 137, August 31, 2026, p. H5274。</w:t>
      </w:r>
    </w:p>
  </w:footnote>
  <w:footnote w:id="59">
    <w:p>
      <w:pPr>
        <w:pStyle w:val="FootnoteText"/>
      </w:pPr>
      <w:r>
        <w:rPr>
          <w:rStyle w:val="FootnoteReference"/>
        </w:rPr>
        <w:footnoteRef/>
      </w:r>
      <w:r>
        <w:t xml:space="preserve"> </w:t>
      </w:r>
      <w:r>
        <w:t xml:space="preserve">S.1053,</w:t>
      </w:r>
      <w:r>
        <w:t xml:space="preserve"> </w:t>
      </w:r>
      <w:r>
        <w:rPr>
          <w:i/>
          <w:iCs/>
        </w:rPr>
        <w:t xml:space="preserve">FIGHT China Act of 2025</w:t>
      </w:r>
      <w:r>
        <w:rPr>
          <w:rFonts w:hint="eastAsia"/>
        </w:rPr>
        <w:t xml:space="preserve">；H.R.910,</w:t>
      </w:r>
      <w:r>
        <w:t xml:space="preserve"> </w:t>
      </w:r>
      <w:r>
        <w:rPr>
          <w:i/>
          <w:iCs/>
        </w:rPr>
        <w:t xml:space="preserve">Taiwan Non-Discrimination Act of 2025</w:t>
      </w:r>
      <w:r>
        <w:t xml:space="preserve">, passed House June 24, </w:t>
      </w:r>
      <w:r>
        <w:rPr>
          <w:rFonts w:hint="eastAsia"/>
        </w:rPr>
        <w:t xml:space="preserve">2025，均见Congress.gov；美国财政部对外投资规则拟议规则，Federal</w:t>
      </w:r>
      <w:r>
        <w:t xml:space="preserve"> Register, October 22, 2026。</w:t>
      </w:r>
    </w:p>
  </w:footnote>
  <w:footnote w:id="60">
    <w:p>
      <w:pPr>
        <w:pStyle w:val="FootnoteText"/>
      </w:pPr>
      <w:r>
        <w:rPr>
          <w:rStyle w:val="FootnoteReference"/>
        </w:rPr>
        <w:footnoteRef/>
      </w:r>
      <w:r>
        <w:t xml:space="preserve"> </w:t>
      </w:r>
      <w:r>
        <w:rPr>
          <w:rFonts w:hint="eastAsia"/>
        </w:rPr>
        <w:t xml:space="preserve">美国国防安全合作局2025年12月17日对台军售通报；路透社、美联社2026年5月15日至6月3日相关报道。</w:t>
      </w:r>
    </w:p>
  </w:footnote>
  <w:footnote w:id="61">
    <w:p>
      <w:pPr>
        <w:pStyle w:val="FootnoteText"/>
      </w:pPr>
      <w:r>
        <w:rPr>
          <w:rStyle w:val="FootnoteReference"/>
        </w:rPr>
        <w:footnoteRef/>
      </w:r>
      <w:r>
        <w:t xml:space="preserve"> </w:t>
      </w:r>
      <w:r>
        <w:rPr>
          <w:rFonts w:hint="eastAsia"/>
        </w:rPr>
        <w:t xml:space="preserve">白宫：《美国人工智能行动计划》（America’s</w:t>
      </w:r>
      <w:r>
        <w:t xml:space="preserve"> AI Action </w:t>
      </w:r>
      <w:r>
        <w:rPr>
          <w:rFonts w:hint="eastAsia"/>
        </w:rPr>
        <w:t xml:space="preserve">Plan），2025年7月；美国商务部工业与安全局关于联网汽车信息通信技术和服务的最终规则，Federal</w:t>
      </w:r>
      <w:r>
        <w:t xml:space="preserve"> Register, January 2025。</w:t>
      </w:r>
    </w:p>
  </w:footnote>
  <w:footnote w:id="62">
    <w:p>
      <w:pPr>
        <w:pStyle w:val="FootnoteText"/>
      </w:pPr>
      <w:r>
        <w:rPr>
          <w:rStyle w:val="FootnoteReference"/>
        </w:rPr>
        <w:footnoteRef/>
      </w:r>
      <w:r>
        <w:t xml:space="preserve"> </w:t>
      </w:r>
      <w:r>
        <w:rPr>
          <w:rFonts w:hint="eastAsia"/>
        </w:rPr>
        <w:t xml:space="preserve">美国商务部工业与安全局2026年1月15日关于先进计算芯片对华出口许可的规则；白宫2025年11月1日关于美中经贸安排的说明。</w:t>
      </w:r>
    </w:p>
  </w:footnote>
  <w:footnote w:id="64">
    <w:p>
      <w:pPr>
        <w:pStyle w:val="FootnoteText"/>
      </w:pPr>
      <w:r>
        <w:rPr>
          <w:rStyle w:val="FootnoteReference"/>
        </w:rPr>
        <w:footnoteRef/>
      </w:r>
      <w:r>
        <w:t xml:space="preserve"> </w:t>
      </w:r>
      <w:r>
        <w:rPr>
          <w:rFonts w:hint="eastAsia"/>
        </w:rPr>
        <w:t xml:space="preserve">国务卿鲁比奥2025年5月28日声明，美国国务院网站；特朗普2025年8月关于中国留学生的公开表态，见美联社报道。</w:t>
      </w:r>
    </w:p>
  </w:footnote>
  <w:footnote w:id="66">
    <w:p>
      <w:pPr>
        <w:pStyle w:val="FootnoteText"/>
      </w:pPr>
      <w:r>
        <w:rPr>
          <w:rStyle w:val="FootnoteReference"/>
        </w:rPr>
        <w:footnoteRef/>
      </w:r>
      <w:r>
        <w:t xml:space="preserve"> </w:t>
      </w:r>
      <w:r>
        <w:rPr>
          <w:rFonts w:hint="eastAsia"/>
        </w:rPr>
        <w:t xml:space="preserve">关于TikTok交易，见白宫2025年9月25日关于TikTok的行政令及2026年1月22日合资企业交割的公开信息；关于“关联企业规则”暂停，见商务部工业与安全局2025年11月公告。</w:t>
      </w:r>
    </w:p>
  </w:footnote>
  <w:footnote w:id="67">
    <w:p>
      <w:pPr>
        <w:pStyle w:val="FootnoteText"/>
      </w:pPr>
      <w:r>
        <w:rPr>
          <w:rStyle w:val="FootnoteReference"/>
        </w:rPr>
        <w:footnoteRef/>
      </w:r>
      <w:r>
        <w:t xml:space="preserve"> </w:t>
      </w:r>
      <w:r>
        <w:rPr>
          <w:rFonts w:hint="eastAsia"/>
        </w:rPr>
        <w:t xml:space="preserve">白宫2025年11月1日关于美中经贸安排的说明（大豆采购承诺）；Public</w:t>
      </w:r>
      <w:r>
        <w:t xml:space="preserve"> Law 119-60, Sec. 851。</w:t>
      </w:r>
      <w:r>
        <w:t xml:space="preserve"> </w:t>
      </w:r>
      <w:r>
        <w:t xml:space="preserve"># </w:t>
      </w:r>
      <w:r>
        <w:rPr>
          <w:rFonts w:hint="eastAsia"/>
        </w:rPr>
        <w:t xml:space="preserve">六、我方研判与应对建议</w:t>
      </w:r>
    </w:p>
  </w:footnote>
  <w:footnote w:id="72">
    <w:p>
      <w:pPr>
        <w:pStyle w:val="FootnoteText"/>
      </w:pPr>
      <w:r>
        <w:rPr>
          <w:rStyle w:val="FootnoteReference"/>
        </w:rPr>
        <w:footnoteRef/>
      </w:r>
      <w:r>
        <w:t xml:space="preserve"> </w:t>
      </w:r>
      <w:r>
        <w:rPr>
          <w:rFonts w:hint="eastAsia"/>
        </w:rPr>
        <w:t xml:space="preserve">中国问题特设委员会首席民主党成员克里希纳穆尔蒂因竞选伊利诺伊州联邦参议员，于2026年1月起由罗·康纳（Ro</w:t>
      </w:r>
      <w:r>
        <w:t xml:space="preserve"> </w:t>
      </w:r>
      <w:r>
        <w:rPr>
          <w:rFonts w:hint="eastAsia"/>
        </w:rPr>
        <w:t xml:space="preserve">Khanna）接任。</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宋体"/>
      <w:sz w:val="24"/>
    </w:rPr>
  </w:style>
  <w:style w:styleId="BodyText" w:type="paragraph">
    <w:name w:val="Body Text"/>
    <w:basedOn w:val="Normal"/>
    <w:link w:val="BodyTextChar"/>
    <w:qFormat/>
    <w:pPr>
      <w:spacing w:after="120" w:before="0" w:line="360" w:lineRule="auto"/>
      <w:ind w:firstLine="482"/>
    </w:pPr>
    <w:rPr>
      <w:rFonts w:ascii="Times New Roman" w:hAnsi="Times New Roman" w:cs="Times New Roman" w:eastAsia="宋体"/>
      <w:sz w:val="24"/>
    </w:rPr>
  </w:style>
  <w:style w:customStyle="1" w:styleId="FirstParagraph" w:type="paragraph">
    <w:name w:val="First Paragraph"/>
    <w:basedOn w:val="BodyText"/>
    <w:next w:val="BodyText"/>
    <w:qFormat/>
    <w:pPr>
      <w:spacing w:line="360" w:lineRule="auto" w:after="120" w:before="0"/>
      <w:ind w:firstLine="482"/>
    </w:pPr>
    <w:rPr>
      <w:rFonts w:ascii="Times New Roman" w:hAnsi="Times New Roman" w:cs="Times New Roman" w:eastAsia="宋体"/>
      <w:sz w:val="24"/>
    </w:rPr>
  </w:style>
  <w:style w:customStyle="1" w:styleId="Compact" w:type="paragraph">
    <w:name w:val="Compact"/>
    <w:basedOn w:val="BodyText"/>
    <w:qFormat/>
    <w:pPr>
      <w:spacing w:after="36" w:before="36"/>
    </w:pPr>
    <w:rPr>
      <w:rFonts w:ascii="Times New Roman" w:hAnsi="Times New Roman" w:cs="Times New Roman" w:eastAsia="宋体"/>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黑体"/>
      <w:b/>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s="Times New Roman" w:eastAsia="黑体"/>
      <w:b w:val="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s="Times New Roman" w:eastAsia="黑体"/>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s="Times New Roman" w:eastAsia="黑体"/>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s="Times New Roman" w:eastAsia="黑体"/>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宋体"/>
      <w:sz w:val="21"/>
    </w:rPr>
  </w:style>
  <w:style w:styleId="FootnoteText" w:type="paragraph">
    <w:name w:val="Footnote Text"/>
    <w:basedOn w:val="Normal"/>
    <w:next w:val="FootnoteText"/>
    <w:uiPriority w:val="9"/>
    <w:unhideWhenUsed/>
    <w:qFormat/>
    <w:rPr>
      <w:rFonts w:ascii="Times New Roman" w:hAnsi="Times New Roman" w:cs="Times New Roman" w:eastAsia="宋体"/>
      <w:sz w:val="21"/>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cs="Times New Roman" w:eastAsia="宋体"/>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cs="Times New Roman" w:eastAsia="宋体"/>
      <w:i/>
      <w:sz w:val="21"/>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2026-10-30T10:17:09Z</dcterms:created>
  <dcterms:modified xsi:type="dcterms:W3CDTF">2026-10-30T10:17:09Z</dcterms:modified>
</cp:coreProperties>
</file>

<file path=docProps/custom.xml><?xml version="1.0" encoding="utf-8"?>
<Properties xmlns="http://schemas.openxmlformats.org/officeDocument/2006/custom-properties" xmlns:vt="http://schemas.openxmlformats.org/officeDocument/2006/docPropsVTypes"/>
</file>