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CE865">
      <w:pPr>
        <w:jc w:val="center"/>
        <w:rPr>
          <w:rFonts w:hint="eastAsia" w:ascii="方正仿宋_GB2312" w:hAnsi="方正仿宋_GB2312" w:eastAsia="方正仿宋_GB2312" w:cs="方正仿宋_GB2312"/>
          <w:b/>
          <w:bCs/>
          <w:sz w:val="32"/>
          <w:szCs w:val="32"/>
          <w:highlight w:val="none"/>
          <w:lang w:val="en-US" w:eastAsia="zh-CN"/>
        </w:rPr>
      </w:pPr>
      <w:r>
        <w:rPr>
          <w:rFonts w:hint="eastAsia" w:ascii="方正仿宋_GB2312" w:hAnsi="方正仿宋_GB2312" w:eastAsia="方正仿宋_GB2312" w:cs="方正仿宋_GB2312"/>
          <w:b/>
          <w:bCs/>
          <w:sz w:val="32"/>
          <w:szCs w:val="32"/>
          <w:highlight w:val="none"/>
          <w:lang w:val="en-US" w:eastAsia="zh-CN"/>
        </w:rPr>
        <w:t>乡村电商运营中的法律纠纷</w:t>
      </w:r>
    </w:p>
    <w:p w14:paraId="2DD881E2">
      <w:pPr>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b/>
          <w:bCs/>
          <w:sz w:val="32"/>
          <w:szCs w:val="32"/>
          <w:highlight w:val="none"/>
          <w:lang w:val="en-US" w:eastAsia="zh-CN"/>
        </w:rPr>
        <w:t>案例检索报告</w:t>
      </w:r>
    </w:p>
    <w:p w14:paraId="731851AF">
      <w:pPr>
        <w:jc w:val="both"/>
        <w:rPr>
          <w:rFonts w:hint="eastAsia" w:ascii="方正仿宋_GB2312" w:hAnsi="方正仿宋_GB2312" w:eastAsia="方正仿宋_GB2312" w:cs="方正仿宋_GB2312"/>
          <w:b w:val="0"/>
          <w:bCs w:val="0"/>
          <w:color w:val="auto"/>
          <w:sz w:val="24"/>
          <w:szCs w:val="24"/>
          <w:lang w:val="en-US" w:eastAsia="zh-CN"/>
        </w:rPr>
      </w:pPr>
      <w:r>
        <w:rPr>
          <w:rFonts w:hint="eastAsia" w:ascii="方正仿宋_GB2312" w:hAnsi="方正仿宋_GB2312" w:eastAsia="方正仿宋_GB2312" w:cs="方正仿宋_GB2312"/>
          <w:b/>
          <w:bCs/>
          <w:color w:val="auto"/>
          <w:sz w:val="24"/>
          <w:szCs w:val="24"/>
          <w:lang w:val="en-US" w:eastAsia="zh-CN"/>
        </w:rPr>
        <w:t>检索时间：</w:t>
      </w:r>
      <w:r>
        <w:rPr>
          <w:rFonts w:hint="eastAsia" w:ascii="方正仿宋_GB2312" w:hAnsi="方正仿宋_GB2312" w:eastAsia="方正仿宋_GB2312" w:cs="方正仿宋_GB2312"/>
          <w:b w:val="0"/>
          <w:bCs w:val="0"/>
          <w:color w:val="auto"/>
          <w:sz w:val="24"/>
          <w:szCs w:val="24"/>
          <w:lang w:val="en-US" w:eastAsia="zh-CN"/>
        </w:rPr>
        <w:t>2026年2月26日</w:t>
      </w:r>
    </w:p>
    <w:p w14:paraId="4975B5D0">
      <w:pPr>
        <w:jc w:val="both"/>
        <w:rPr>
          <w:rFonts w:hint="eastAsia" w:ascii="方正仿宋_GB2312" w:hAnsi="方正仿宋_GB2312" w:eastAsia="方正仿宋_GB2312" w:cs="方正仿宋_GB2312"/>
          <w:b/>
          <w:bCs/>
          <w:color w:val="auto"/>
          <w:sz w:val="24"/>
          <w:szCs w:val="24"/>
          <w:lang w:val="en-US" w:eastAsia="zh-CN"/>
        </w:rPr>
      </w:pPr>
      <w:r>
        <w:rPr>
          <w:rFonts w:hint="eastAsia" w:ascii="方正仿宋_GB2312" w:hAnsi="方正仿宋_GB2312" w:eastAsia="方正仿宋_GB2312" w:cs="方正仿宋_GB2312"/>
          <w:b/>
          <w:bCs/>
          <w:color w:val="auto"/>
          <w:sz w:val="24"/>
          <w:szCs w:val="24"/>
          <w:lang w:val="en-US" w:eastAsia="zh-CN"/>
        </w:rPr>
        <w:t>检索平台：</w:t>
      </w:r>
      <w:r>
        <w:rPr>
          <w:rFonts w:hint="eastAsia" w:ascii="方正仿宋_GB2312" w:hAnsi="方正仿宋_GB2312" w:eastAsia="方正仿宋_GB2312" w:cs="方正仿宋_GB2312"/>
          <w:b w:val="0"/>
          <w:bCs w:val="0"/>
          <w:color w:val="auto"/>
          <w:sz w:val="24"/>
          <w:szCs w:val="24"/>
          <w:lang w:val="en-US" w:eastAsia="zh-CN"/>
        </w:rPr>
        <w:t>威科先行、北大法宝</w:t>
      </w:r>
    </w:p>
    <w:p w14:paraId="4755A5CC">
      <w:pPr>
        <w:jc w:val="both"/>
        <w:rPr>
          <w:rFonts w:hint="eastAsia" w:ascii="方正仿宋_GB2312" w:hAnsi="方正仿宋_GB2312" w:eastAsia="方正仿宋_GB2312" w:cs="方正仿宋_GB2312"/>
          <w:b/>
          <w:bCs/>
          <w:color w:val="auto"/>
          <w:sz w:val="24"/>
          <w:szCs w:val="24"/>
          <w:lang w:val="en-US" w:eastAsia="zh-CN"/>
        </w:rPr>
      </w:pPr>
      <w:r>
        <w:rPr>
          <w:rFonts w:hint="eastAsia" w:ascii="方正仿宋_GB2312" w:hAnsi="方正仿宋_GB2312" w:eastAsia="方正仿宋_GB2312" w:cs="方正仿宋_GB2312"/>
          <w:b/>
          <w:bCs/>
          <w:color w:val="auto"/>
          <w:sz w:val="24"/>
          <w:szCs w:val="24"/>
          <w:lang w:val="en-US" w:eastAsia="zh-CN"/>
        </w:rPr>
        <w:t>说明：</w:t>
      </w:r>
      <w:r>
        <w:rPr>
          <w:rFonts w:hint="eastAsia" w:ascii="方正仿宋_GB2312" w:hAnsi="方正仿宋_GB2312" w:eastAsia="方正仿宋_GB2312" w:cs="方正仿宋_GB2312"/>
          <w:b w:val="0"/>
          <w:bCs w:val="0"/>
          <w:color w:val="auto"/>
          <w:sz w:val="24"/>
          <w:szCs w:val="24"/>
          <w:lang w:val="en-US" w:eastAsia="zh-CN"/>
        </w:rPr>
        <w:t>本案例检索内容依次为知识产权纠纷（序号1-15）、虚假宣传纠纷（序号16-30）、</w:t>
      </w:r>
      <w:bookmarkStart w:id="5" w:name="_GoBack"/>
      <w:bookmarkEnd w:id="5"/>
      <w:r>
        <w:rPr>
          <w:rFonts w:hint="eastAsia" w:ascii="方正仿宋_GB2312" w:hAnsi="方正仿宋_GB2312" w:eastAsia="方正仿宋_GB2312" w:cs="方正仿宋_GB2312"/>
          <w:b w:val="0"/>
          <w:bCs w:val="0"/>
          <w:color w:val="auto"/>
          <w:sz w:val="24"/>
          <w:szCs w:val="24"/>
          <w:lang w:val="en-US" w:eastAsia="zh-CN"/>
        </w:rPr>
        <w:t>产品质量纠纷（序号31-45）、地理标志纠纷（序号46-60）、物流纠纷（序号61-75）。</w:t>
      </w:r>
    </w:p>
    <w:p w14:paraId="498CDD7A">
      <w:pPr>
        <w:numPr>
          <w:ilvl w:val="0"/>
          <w:numId w:val="0"/>
        </w:numPr>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b/>
          <w:bCs/>
          <w:sz w:val="24"/>
          <w:szCs w:val="24"/>
          <w:vertAlign w:val="baseline"/>
          <w:lang w:val="en-US" w:eastAsia="zh-CN"/>
        </w:rPr>
        <w:t>标准检索范围以及顺序：</w:t>
      </w:r>
    </w:p>
    <w:p w14:paraId="112E2D2B">
      <w:pPr>
        <w:numPr>
          <w:ilvl w:val="0"/>
          <w:numId w:val="0"/>
        </w:numPr>
        <w:ind w:firstLine="480" w:firstLineChars="200"/>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sz w:val="24"/>
          <w:szCs w:val="24"/>
          <w:vertAlign w:val="baseline"/>
          <w:lang w:val="en-US" w:eastAsia="zh-CN"/>
        </w:rPr>
        <w:t>1.最高人民法院发布的指导性案例；</w:t>
      </w:r>
    </w:p>
    <w:p w14:paraId="3B8CE1E2">
      <w:pPr>
        <w:numPr>
          <w:ilvl w:val="0"/>
          <w:numId w:val="0"/>
        </w:numPr>
        <w:ind w:firstLine="480" w:firstLineChars="200"/>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sz w:val="24"/>
          <w:szCs w:val="24"/>
          <w:vertAlign w:val="baseline"/>
          <w:lang w:val="en-US" w:eastAsia="zh-CN"/>
        </w:rPr>
        <w:t>2.《最高人民法院公报》刊登的案例、裁判文书；</w:t>
      </w:r>
    </w:p>
    <w:p w14:paraId="3B881040">
      <w:pPr>
        <w:numPr>
          <w:ilvl w:val="0"/>
          <w:numId w:val="0"/>
        </w:numPr>
        <w:ind w:firstLine="480" w:firstLineChars="200"/>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sz w:val="24"/>
          <w:szCs w:val="24"/>
          <w:vertAlign w:val="baseline"/>
          <w:lang w:val="en-US" w:eastAsia="zh-CN"/>
        </w:rPr>
        <w:t>3.最高人民法院及其相关业务部门发布的典型案例及生效的裁判文书，以及入库案例；</w:t>
      </w:r>
    </w:p>
    <w:p w14:paraId="257B5290">
      <w:pPr>
        <w:numPr>
          <w:ilvl w:val="0"/>
          <w:numId w:val="0"/>
        </w:numPr>
        <w:ind w:firstLine="480" w:firstLineChars="200"/>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sz w:val="24"/>
          <w:szCs w:val="24"/>
          <w:vertAlign w:val="baseline"/>
          <w:lang w:val="en-US" w:eastAsia="zh-CN"/>
        </w:rPr>
        <w:t>4.省高级人民法院发布的参考性案例、典型案例及生效的裁判文书；</w:t>
      </w:r>
    </w:p>
    <w:p w14:paraId="10EF1B7F">
      <w:pPr>
        <w:numPr>
          <w:ilvl w:val="0"/>
          <w:numId w:val="0"/>
        </w:numPr>
        <w:ind w:firstLine="480" w:firstLineChars="200"/>
        <w:jc w:val="both"/>
        <w:rPr>
          <w:rFonts w:hint="eastAsia" w:ascii="方正仿宋_GB2312" w:hAnsi="方正仿宋_GB2312" w:eastAsia="方正仿宋_GB2312" w:cs="方正仿宋_GB2312"/>
          <w:sz w:val="24"/>
          <w:szCs w:val="24"/>
          <w:vertAlign w:val="baseline"/>
          <w:lang w:val="en-US" w:eastAsia="zh-CN"/>
        </w:rPr>
      </w:pPr>
      <w:r>
        <w:rPr>
          <w:rFonts w:hint="eastAsia" w:ascii="方正仿宋_GB2312" w:hAnsi="方正仿宋_GB2312" w:eastAsia="方正仿宋_GB2312" w:cs="方正仿宋_GB2312"/>
          <w:sz w:val="24"/>
          <w:szCs w:val="24"/>
          <w:vertAlign w:val="baseline"/>
          <w:lang w:val="en-US" w:eastAsia="zh-CN"/>
        </w:rPr>
        <w:t>5.中级人民法院及本院作出的其他生效裁判文书；</w:t>
      </w:r>
    </w:p>
    <w:p w14:paraId="063DBD0E">
      <w:pPr>
        <w:ind w:firstLine="480" w:firstLineChars="200"/>
        <w:jc w:val="both"/>
        <w:rPr>
          <w:rFonts w:hint="eastAsia" w:ascii="方正仿宋_GB2312" w:hAnsi="方正仿宋_GB2312" w:eastAsia="方正仿宋_GB2312" w:cs="方正仿宋_GB2312"/>
          <w:b/>
          <w:bCs/>
          <w:color w:val="auto"/>
          <w:sz w:val="24"/>
          <w:szCs w:val="24"/>
          <w:lang w:val="en-US" w:eastAsia="zh-CN"/>
        </w:rPr>
      </w:pPr>
      <w:r>
        <w:rPr>
          <w:rFonts w:hint="eastAsia" w:ascii="方正仿宋_GB2312" w:hAnsi="方正仿宋_GB2312" w:eastAsia="方正仿宋_GB2312" w:cs="方正仿宋_GB2312"/>
          <w:sz w:val="24"/>
          <w:szCs w:val="24"/>
          <w:vertAlign w:val="baseline"/>
          <w:lang w:val="en-US" w:eastAsia="zh-CN"/>
        </w:rPr>
        <w:t>6.其他法院作出的生效裁判文书，可根据需要扩大检索范围。</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
        <w:gridCol w:w="1095"/>
        <w:gridCol w:w="6"/>
        <w:gridCol w:w="909"/>
        <w:gridCol w:w="1526"/>
        <w:gridCol w:w="2172"/>
        <w:gridCol w:w="2337"/>
      </w:tblGrid>
      <w:tr w14:paraId="7E39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E54C5E" w:themeFill="accent6"/>
            <w:tcMar>
              <w:left w:w="108" w:type="dxa"/>
              <w:right w:w="108" w:type="dxa"/>
            </w:tcMar>
            <w:vAlign w:val="center"/>
          </w:tcPr>
          <w:p w14:paraId="3294CEB5">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color w:val="FFFFFF" w:themeColor="background1"/>
                <w:kern w:val="2"/>
                <w:sz w:val="24"/>
                <w:szCs w:val="24"/>
                <w:highlight w:val="none"/>
                <w:vertAlign w:val="baseline"/>
                <w:lang w:val="en-US" w:eastAsia="zh-CN" w:bidi="ar-SA"/>
                <w14:textFill>
                  <w14:solidFill>
                    <w14:schemeClr w14:val="bg1"/>
                  </w14:solidFill>
                </w14:textFill>
              </w:rPr>
              <w:t>检索结论</w:t>
            </w:r>
          </w:p>
        </w:tc>
      </w:tr>
      <w:tr w14:paraId="7A34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C6A492B">
            <w:pP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1.知识产权部分检索结论：</w:t>
            </w:r>
            <w:r>
              <w:rPr>
                <w:rFonts w:hint="eastAsia" w:ascii="方正仿宋_GB2312" w:hAnsi="方正仿宋_GB2312" w:eastAsia="方正仿宋_GB2312" w:cs="方正仿宋_GB2312"/>
                <w:b w:val="0"/>
                <w:bCs w:val="0"/>
                <w:sz w:val="21"/>
                <w:szCs w:val="21"/>
                <w:lang w:val="en-US" w:eastAsia="zh-CN"/>
              </w:rPr>
              <w:t>司法实践确立了“</w:t>
            </w:r>
            <w:r>
              <w:rPr>
                <w:rFonts w:hint="eastAsia" w:ascii="方正仿宋_GB2312" w:hAnsi="方正仿宋_GB2312" w:eastAsia="方正仿宋_GB2312" w:cs="方正仿宋_GB2312"/>
                <w:b/>
                <w:bCs/>
                <w:sz w:val="21"/>
                <w:szCs w:val="21"/>
                <w:lang w:val="en-US" w:eastAsia="zh-CN"/>
              </w:rPr>
              <w:t>登记即侵权</w:t>
            </w:r>
            <w:r>
              <w:rPr>
                <w:rFonts w:hint="eastAsia" w:ascii="方正仿宋_GB2312" w:hAnsi="方正仿宋_GB2312" w:eastAsia="方正仿宋_GB2312" w:cs="方正仿宋_GB2312"/>
                <w:b w:val="0"/>
                <w:bCs w:val="0"/>
                <w:sz w:val="21"/>
                <w:szCs w:val="21"/>
                <w:lang w:val="en-US" w:eastAsia="zh-CN"/>
              </w:rPr>
              <w:t>”等规则，</w:t>
            </w:r>
            <w:r>
              <w:rPr>
                <w:rFonts w:hint="eastAsia" w:ascii="方正仿宋_GB2312" w:hAnsi="方正仿宋_GB2312" w:eastAsia="方正仿宋_GB2312" w:cs="方正仿宋_GB2312"/>
                <w:b/>
                <w:bCs/>
                <w:sz w:val="21"/>
                <w:szCs w:val="21"/>
                <w:lang w:val="en-US" w:eastAsia="zh-CN"/>
              </w:rPr>
              <w:t>严厉打击“傍名牌”、“搭便车”的仿冒混淆行为</w:t>
            </w:r>
            <w:r>
              <w:rPr>
                <w:rFonts w:hint="eastAsia" w:ascii="方正仿宋_GB2312" w:hAnsi="方正仿宋_GB2312" w:eastAsia="方正仿宋_GB2312" w:cs="方正仿宋_GB2312"/>
                <w:b w:val="0"/>
                <w:bCs w:val="0"/>
                <w:sz w:val="21"/>
                <w:szCs w:val="21"/>
                <w:lang w:val="en-US" w:eastAsia="zh-CN"/>
              </w:rPr>
              <w:t>，从商业登记的源头强化了对知名商业标识的保护。针对电商、直播等新业态，法院明确了通过平台信息可</w:t>
            </w:r>
            <w:r>
              <w:rPr>
                <w:rFonts w:hint="eastAsia" w:ascii="方正仿宋_GB2312" w:hAnsi="方正仿宋_GB2312" w:eastAsia="方正仿宋_GB2312" w:cs="方正仿宋_GB2312"/>
                <w:b/>
                <w:bCs/>
                <w:sz w:val="21"/>
                <w:szCs w:val="21"/>
                <w:lang w:val="en-US" w:eastAsia="zh-CN"/>
              </w:rPr>
              <w:t>“推定”制造行为、带货引流中“全流程仿冒”</w:t>
            </w:r>
            <w:r>
              <w:rPr>
                <w:rFonts w:hint="eastAsia" w:ascii="方正仿宋_GB2312" w:hAnsi="方正仿宋_GB2312" w:eastAsia="方正仿宋_GB2312" w:cs="方正仿宋_GB2312"/>
                <w:b w:val="0"/>
                <w:bCs w:val="0"/>
                <w:sz w:val="21"/>
                <w:szCs w:val="21"/>
                <w:lang w:val="en-US" w:eastAsia="zh-CN"/>
              </w:rPr>
              <w:t>可构成侵权等裁判标准，并积极适用</w:t>
            </w:r>
            <w:r>
              <w:rPr>
                <w:rFonts w:hint="eastAsia" w:ascii="方正仿宋_GB2312" w:hAnsi="方正仿宋_GB2312" w:eastAsia="方正仿宋_GB2312" w:cs="方正仿宋_GB2312"/>
                <w:b/>
                <w:bCs/>
                <w:sz w:val="21"/>
                <w:szCs w:val="21"/>
                <w:lang w:val="en-US" w:eastAsia="zh-CN"/>
              </w:rPr>
              <w:t>惩罚性赔偿</w:t>
            </w:r>
            <w:r>
              <w:rPr>
                <w:rFonts w:hint="eastAsia" w:ascii="方正仿宋_GB2312" w:hAnsi="方正仿宋_GB2312" w:eastAsia="方正仿宋_GB2312" w:cs="方正仿宋_GB2312"/>
                <w:b w:val="0"/>
                <w:bCs w:val="0"/>
                <w:sz w:val="21"/>
                <w:szCs w:val="21"/>
                <w:lang w:val="en-US" w:eastAsia="zh-CN"/>
              </w:rPr>
              <w:t>惩治恶意侵权。在侵权认定上，严格遵循</w:t>
            </w:r>
            <w:r>
              <w:rPr>
                <w:rFonts w:hint="eastAsia" w:ascii="方正仿宋_GB2312" w:hAnsi="方正仿宋_GB2312" w:eastAsia="方正仿宋_GB2312" w:cs="方正仿宋_GB2312"/>
                <w:b/>
                <w:bCs/>
                <w:sz w:val="21"/>
                <w:szCs w:val="21"/>
                <w:lang w:val="en-US" w:eastAsia="zh-CN"/>
              </w:rPr>
              <w:t>“整体视觉效果”</w:t>
            </w:r>
            <w:r>
              <w:rPr>
                <w:rFonts w:hint="eastAsia" w:ascii="方正仿宋_GB2312" w:hAnsi="方正仿宋_GB2312" w:eastAsia="方正仿宋_GB2312" w:cs="方正仿宋_GB2312"/>
                <w:b w:val="0"/>
                <w:bCs w:val="0"/>
                <w:sz w:val="21"/>
                <w:szCs w:val="21"/>
                <w:lang w:val="en-US" w:eastAsia="zh-CN"/>
              </w:rPr>
              <w:t>等原则，同时明确</w:t>
            </w:r>
            <w:r>
              <w:rPr>
                <w:rFonts w:hint="eastAsia" w:ascii="方正仿宋_GB2312" w:hAnsi="方正仿宋_GB2312" w:eastAsia="方正仿宋_GB2312" w:cs="方正仿宋_GB2312"/>
                <w:b/>
                <w:bCs/>
                <w:sz w:val="21"/>
                <w:szCs w:val="21"/>
                <w:lang w:val="en-US" w:eastAsia="zh-CN"/>
              </w:rPr>
              <w:t>“合法来源抗辩”</w:t>
            </w:r>
            <w:r>
              <w:rPr>
                <w:rFonts w:hint="eastAsia" w:ascii="方正仿宋_GB2312" w:hAnsi="方正仿宋_GB2312" w:eastAsia="方正仿宋_GB2312" w:cs="方正仿宋_GB2312"/>
                <w:b w:val="0"/>
                <w:bCs w:val="0"/>
                <w:sz w:val="21"/>
                <w:szCs w:val="21"/>
                <w:lang w:val="en-US" w:eastAsia="zh-CN"/>
              </w:rPr>
              <w:t>的证明标准，既有效保护了权利人的合法权益，也为诚信经营者提供了合理的抗辩空间。</w:t>
            </w:r>
          </w:p>
          <w:p w14:paraId="738BC2D5">
            <w:pP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2.虚假宣传部分检索结论：</w:t>
            </w:r>
            <w:r>
              <w:rPr>
                <w:rFonts w:hint="eastAsia" w:ascii="方正仿宋_GB2312" w:hAnsi="方正仿宋_GB2312" w:eastAsia="方正仿宋_GB2312" w:cs="方正仿宋_GB2312"/>
              </w:rPr>
              <w:t>司法实践中认定虚假宣传的关键在于</w:t>
            </w:r>
            <w:r>
              <w:rPr>
                <w:rFonts w:hint="eastAsia" w:ascii="方正仿宋_GB2312" w:hAnsi="方正仿宋_GB2312" w:eastAsia="方正仿宋_GB2312" w:cs="方正仿宋_GB2312"/>
                <w:b/>
                <w:bCs/>
              </w:rPr>
              <w:t>宣传内容是否真实、准确</w:t>
            </w: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b/>
                <w:bCs/>
              </w:rPr>
              <w:t>是否足以导致相关公众产生误解</w:t>
            </w:r>
            <w:r>
              <w:rPr>
                <w:rFonts w:hint="eastAsia" w:ascii="方正仿宋_GB2312" w:hAnsi="方正仿宋_GB2312" w:eastAsia="方正仿宋_GB2312" w:cs="方正仿宋_GB2312"/>
              </w:rPr>
              <w:t>，并考察</w:t>
            </w:r>
            <w:r>
              <w:rPr>
                <w:rFonts w:hint="eastAsia" w:ascii="方正仿宋_GB2312" w:hAnsi="方正仿宋_GB2312" w:eastAsia="方正仿宋_GB2312" w:cs="方正仿宋_GB2312"/>
                <w:b/>
                <w:bCs/>
              </w:rPr>
              <w:t>行为人的主观过错</w:t>
            </w:r>
            <w:r>
              <w:rPr>
                <w:rFonts w:hint="eastAsia" w:ascii="方正仿宋_GB2312" w:hAnsi="方正仿宋_GB2312" w:eastAsia="方正仿宋_GB2312" w:cs="方正仿宋_GB2312"/>
              </w:rPr>
              <w:t>及</w:t>
            </w:r>
            <w:r>
              <w:rPr>
                <w:rFonts w:hint="eastAsia" w:ascii="方正仿宋_GB2312" w:hAnsi="方正仿宋_GB2312" w:eastAsia="方正仿宋_GB2312" w:cs="方正仿宋_GB2312"/>
                <w:b/>
                <w:bCs/>
              </w:rPr>
              <w:t>是否实际扰乱了公平竞争秩序</w:t>
            </w:r>
            <w:r>
              <w:rPr>
                <w:rFonts w:hint="eastAsia" w:ascii="方正仿宋_GB2312" w:hAnsi="方正仿宋_GB2312" w:eastAsia="方正仿宋_GB2312" w:cs="方正仿宋_GB2312"/>
              </w:rPr>
              <w:t>。核心裁判逻辑则围绕事实基础、误导可能性、竞争关系及损害结果等进行综合判断，对“引人误解”的标准把握严格，且强调民事责任需以直接损害为前提。</w:t>
            </w:r>
          </w:p>
          <w:p w14:paraId="54113730">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lang w:val="en-US" w:eastAsia="zh-CN"/>
              </w:rPr>
              <w:t>3.产品质量部分检索结论：</w:t>
            </w:r>
            <w:r>
              <w:rPr>
                <w:rFonts w:hint="eastAsia" w:ascii="方正仿宋_GB2312" w:hAnsi="方正仿宋_GB2312" w:eastAsia="方正仿宋_GB2312" w:cs="方正仿宋_GB2312"/>
                <w:b w:val="0"/>
                <w:bCs w:val="0"/>
                <w:lang w:val="en-US" w:eastAsia="zh-CN"/>
              </w:rPr>
              <w:t>司法实践</w:t>
            </w:r>
            <w:r>
              <w:rPr>
                <w:rFonts w:hint="eastAsia" w:ascii="方正仿宋_GB2312" w:hAnsi="方正仿宋_GB2312" w:eastAsia="方正仿宋_GB2312" w:cs="方正仿宋_GB2312"/>
              </w:rPr>
              <w:t>以</w:t>
            </w:r>
            <w:r>
              <w:rPr>
                <w:rFonts w:hint="eastAsia" w:ascii="方正仿宋_GB2312" w:hAnsi="方正仿宋_GB2312" w:eastAsia="方正仿宋_GB2312" w:cs="方正仿宋_GB2312"/>
                <w:b/>
                <w:bCs/>
                <w:lang w:eastAsia="zh-CN"/>
              </w:rPr>
              <w:t>“</w:t>
            </w:r>
            <w:r>
              <w:rPr>
                <w:rFonts w:hint="eastAsia" w:ascii="方正仿宋_GB2312" w:hAnsi="方正仿宋_GB2312" w:eastAsia="方正仿宋_GB2312" w:cs="方正仿宋_GB2312"/>
                <w:b/>
                <w:bCs/>
              </w:rPr>
              <w:t>生活消费需要</w:t>
            </w:r>
            <w:r>
              <w:rPr>
                <w:rFonts w:hint="eastAsia" w:ascii="方正仿宋_GB2312" w:hAnsi="方正仿宋_GB2312" w:eastAsia="方正仿宋_GB2312" w:cs="方正仿宋_GB2312"/>
                <w:b/>
                <w:bCs/>
                <w:lang w:eastAsia="zh-CN"/>
              </w:rPr>
              <w:t>”</w:t>
            </w:r>
            <w:r>
              <w:rPr>
                <w:rFonts w:hint="eastAsia" w:ascii="方正仿宋_GB2312" w:hAnsi="方正仿宋_GB2312" w:eastAsia="方正仿宋_GB2312" w:cs="方正仿宋_GB2312"/>
              </w:rPr>
              <w:t>为边界，在食品药品安全领域实行</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知假买假</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有限保护原则</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原则上不因购买者明知而否定其索赔权利，但职业打假人超出合理生活消费需要的</w:t>
            </w:r>
            <w:r>
              <w:rPr>
                <w:rFonts w:hint="eastAsia" w:ascii="方正仿宋_GB2312" w:hAnsi="方正仿宋_GB2312" w:eastAsia="方正仿宋_GB2312" w:cs="方正仿宋_GB2312"/>
                <w:b/>
                <w:bCs/>
              </w:rPr>
              <w:t>大额索赔不予支持</w:t>
            </w:r>
            <w:r>
              <w:rPr>
                <w:rFonts w:hint="eastAsia" w:ascii="方正仿宋_GB2312" w:hAnsi="方正仿宋_GB2312" w:eastAsia="方正仿宋_GB2312" w:cs="方正仿宋_GB2312"/>
              </w:rPr>
              <w:t>；惩罚性赔偿的适用以食品不符合安全标准为前提，但标签瑕疵若</w:t>
            </w:r>
            <w:r>
              <w:rPr>
                <w:rFonts w:hint="eastAsia" w:ascii="方正仿宋_GB2312" w:hAnsi="方正仿宋_GB2312" w:eastAsia="方正仿宋_GB2312" w:cs="方正仿宋_GB2312"/>
                <w:b/>
                <w:bCs/>
              </w:rPr>
              <w:t>不影响食品安全</w:t>
            </w:r>
            <w:r>
              <w:rPr>
                <w:rFonts w:hint="eastAsia" w:ascii="方正仿宋_GB2312" w:hAnsi="方正仿宋_GB2312" w:eastAsia="方正仿宋_GB2312" w:cs="方正仿宋_GB2312"/>
              </w:rPr>
              <w:t>且</w:t>
            </w:r>
            <w:r>
              <w:rPr>
                <w:rFonts w:hint="eastAsia" w:ascii="方正仿宋_GB2312" w:hAnsi="方正仿宋_GB2312" w:eastAsia="方正仿宋_GB2312" w:cs="方正仿宋_GB2312"/>
                <w:b/>
                <w:bCs/>
              </w:rPr>
              <w:t>不致消费者误导的</w:t>
            </w:r>
            <w:r>
              <w:rPr>
                <w:rFonts w:hint="eastAsia" w:ascii="方正仿宋_GB2312" w:hAnsi="方正仿宋_GB2312" w:eastAsia="方正仿宋_GB2312" w:cs="方正仿宋_GB2312"/>
              </w:rPr>
              <w:t>，适用但书条款</w:t>
            </w:r>
            <w:r>
              <w:rPr>
                <w:rFonts w:hint="eastAsia" w:ascii="方正仿宋_GB2312" w:hAnsi="方正仿宋_GB2312" w:eastAsia="方正仿宋_GB2312" w:cs="方正仿宋_GB2312"/>
                <w:b/>
                <w:bCs/>
              </w:rPr>
              <w:t>排除</w:t>
            </w:r>
            <w:r>
              <w:rPr>
                <w:rFonts w:hint="eastAsia" w:ascii="方正仿宋_GB2312" w:hAnsi="方正仿宋_GB2312" w:eastAsia="方正仿宋_GB2312" w:cs="方正仿宋_GB2312"/>
              </w:rPr>
              <w:t>惩罚性赔偿。</w:t>
            </w:r>
          </w:p>
          <w:p w14:paraId="17B53192">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b/>
                <w:bCs/>
                <w:lang w:val="en-US" w:eastAsia="zh-CN"/>
              </w:rPr>
              <w:t>4.地理标志部分检索结论：</w:t>
            </w:r>
            <w:r>
              <w:rPr>
                <w:rFonts w:hint="eastAsia" w:ascii="方正仿宋_GB2312" w:hAnsi="方正仿宋_GB2312" w:eastAsia="方正仿宋_GB2312" w:cs="方正仿宋_GB2312"/>
                <w:lang w:val="en-US" w:eastAsia="zh-CN"/>
              </w:rPr>
              <w:t>司法实践以</w:t>
            </w:r>
            <w:r>
              <w:rPr>
                <w:rFonts w:hint="eastAsia" w:ascii="方正仿宋_GB2312" w:hAnsi="方正仿宋_GB2312" w:eastAsia="方正仿宋_GB2312" w:cs="方正仿宋_GB2312"/>
                <w:b/>
                <w:bCs/>
                <w:lang w:val="en-US" w:eastAsia="zh-CN"/>
              </w:rPr>
              <w:t>“产地真实性”</w:t>
            </w:r>
            <w:r>
              <w:rPr>
                <w:rFonts w:hint="eastAsia" w:ascii="方正仿宋_GB2312" w:hAnsi="方正仿宋_GB2312" w:eastAsia="方正仿宋_GB2312" w:cs="方正仿宋_GB2312"/>
                <w:lang w:val="en-US" w:eastAsia="zh-CN"/>
              </w:rPr>
              <w:t>与</w:t>
            </w:r>
            <w:r>
              <w:rPr>
                <w:rFonts w:hint="eastAsia" w:ascii="方正仿宋_GB2312" w:hAnsi="方正仿宋_GB2312" w:eastAsia="方正仿宋_GB2312" w:cs="方正仿宋_GB2312"/>
                <w:b/>
                <w:bCs/>
                <w:lang w:val="en-US" w:eastAsia="zh-CN"/>
              </w:rPr>
              <w:t>“品质符合性”</w:t>
            </w:r>
            <w:r>
              <w:rPr>
                <w:rFonts w:hint="eastAsia" w:ascii="方正仿宋_GB2312" w:hAnsi="方正仿宋_GB2312" w:eastAsia="方正仿宋_GB2312" w:cs="方正仿宋_GB2312"/>
                <w:lang w:val="en-US" w:eastAsia="zh-CN"/>
              </w:rPr>
              <w:t>为双重认定标准，二者缺一不可，即产地不实或产地真实但品质不符均构成侵权。对地名的</w:t>
            </w:r>
            <w:r>
              <w:rPr>
                <w:rFonts w:hint="eastAsia" w:ascii="方正仿宋_GB2312" w:hAnsi="方正仿宋_GB2312" w:eastAsia="方正仿宋_GB2312" w:cs="方正仿宋_GB2312"/>
                <w:b/>
                <w:bCs/>
                <w:lang w:val="en-US" w:eastAsia="zh-CN"/>
              </w:rPr>
              <w:t>正当使用以产地真实、善意且必要</w:t>
            </w:r>
            <w:r>
              <w:rPr>
                <w:rFonts w:hint="eastAsia" w:ascii="方正仿宋_GB2312" w:hAnsi="方正仿宋_GB2312" w:eastAsia="方正仿宋_GB2312" w:cs="方正仿宋_GB2312"/>
                <w:lang w:val="en-US" w:eastAsia="zh-CN"/>
              </w:rPr>
              <w:t>为边界，超出此范围的</w:t>
            </w:r>
            <w:r>
              <w:rPr>
                <w:rFonts w:hint="eastAsia" w:ascii="方正仿宋_GB2312" w:hAnsi="方正仿宋_GB2312" w:eastAsia="方正仿宋_GB2312" w:cs="方正仿宋_GB2312"/>
                <w:b/>
                <w:bCs/>
                <w:lang w:val="en-US" w:eastAsia="zh-CN"/>
              </w:rPr>
              <w:t>攀附性使用不予支持</w:t>
            </w:r>
            <w:r>
              <w:rPr>
                <w:rFonts w:hint="eastAsia" w:ascii="方正仿宋_GB2312" w:hAnsi="方正仿宋_GB2312" w:eastAsia="方正仿宋_GB2312" w:cs="方正仿宋_GB2312"/>
                <w:lang w:val="en-US" w:eastAsia="zh-CN"/>
              </w:rPr>
              <w:t>。</w:t>
            </w:r>
            <w:r>
              <w:rPr>
                <w:rFonts w:hint="eastAsia" w:ascii="方正仿宋_GB2312" w:hAnsi="方正仿宋_GB2312" w:eastAsia="方正仿宋_GB2312" w:cs="方正仿宋_GB2312"/>
                <w:b/>
                <w:bCs/>
                <w:lang w:val="en-US" w:eastAsia="zh-CN"/>
              </w:rPr>
              <w:t>通用名称的判定</w:t>
            </w:r>
            <w:r>
              <w:rPr>
                <w:rFonts w:hint="eastAsia" w:ascii="方正仿宋_GB2312" w:hAnsi="方正仿宋_GB2312" w:eastAsia="方正仿宋_GB2312" w:cs="方正仿宋_GB2312"/>
                <w:lang w:val="en-US" w:eastAsia="zh-CN"/>
              </w:rPr>
              <w:t>以</w:t>
            </w:r>
            <w:r>
              <w:rPr>
                <w:rFonts w:hint="eastAsia" w:ascii="方正仿宋_GB2312" w:hAnsi="方正仿宋_GB2312" w:eastAsia="方正仿宋_GB2312" w:cs="方正仿宋_GB2312"/>
                <w:b/>
                <w:bCs/>
                <w:lang w:val="en-US" w:eastAsia="zh-CN"/>
              </w:rPr>
              <w:t>全国范围相关公众认知</w:t>
            </w:r>
            <w:r>
              <w:rPr>
                <w:rFonts w:hint="eastAsia" w:ascii="方正仿宋_GB2312" w:hAnsi="方正仿宋_GB2312" w:eastAsia="方正仿宋_GB2312" w:cs="方正仿宋_GB2312"/>
                <w:lang w:val="en-US" w:eastAsia="zh-CN"/>
              </w:rPr>
              <w:t>为准，能够指示地理来源的名称不构成通用名称。举证责任实行</w:t>
            </w:r>
            <w:r>
              <w:rPr>
                <w:rFonts w:hint="eastAsia" w:ascii="方正仿宋_GB2312" w:hAnsi="方正仿宋_GB2312" w:eastAsia="方正仿宋_GB2312" w:cs="方正仿宋_GB2312"/>
                <w:b/>
                <w:bCs/>
                <w:lang w:val="en-US" w:eastAsia="zh-CN"/>
              </w:rPr>
              <w:t>初步举证后转移规则</w:t>
            </w:r>
            <w:r>
              <w:rPr>
                <w:rFonts w:hint="eastAsia" w:ascii="方正仿宋_GB2312" w:hAnsi="方正仿宋_GB2312" w:eastAsia="方正仿宋_GB2312" w:cs="方正仿宋_GB2312"/>
                <w:lang w:val="en-US" w:eastAsia="zh-CN"/>
              </w:rPr>
              <w:t>，原告完成初步举证后，由被告证明产地真实性。</w:t>
            </w:r>
          </w:p>
          <w:p w14:paraId="72F30175">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b/>
                <w:bCs/>
                <w:lang w:val="en-US" w:eastAsia="zh-CN"/>
              </w:rPr>
              <w:t>5.物流纠纷部分检索结论：</w:t>
            </w:r>
            <w:r>
              <w:rPr>
                <w:rFonts w:hint="eastAsia" w:ascii="方正仿宋_GB2312" w:hAnsi="方正仿宋_GB2312" w:eastAsia="方正仿宋_GB2312" w:cs="方正仿宋_GB2312"/>
                <w:lang w:val="en-US" w:eastAsia="zh-CN"/>
              </w:rPr>
              <w:t>司法实践中</w:t>
            </w:r>
            <w:r>
              <w:rPr>
                <w:rFonts w:hint="eastAsia" w:ascii="方正仿宋_GB2312" w:hAnsi="方正仿宋_GB2312" w:eastAsia="方正仿宋_GB2312" w:cs="方正仿宋_GB2312"/>
                <w:b/>
                <w:bCs/>
                <w:lang w:val="en-US" w:eastAsia="zh-CN"/>
              </w:rPr>
              <w:t>承运人</w:t>
            </w:r>
            <w:r>
              <w:rPr>
                <w:rFonts w:hint="eastAsia" w:ascii="方正仿宋_GB2312" w:hAnsi="方正仿宋_GB2312" w:eastAsia="方正仿宋_GB2312" w:cs="方正仿宋_GB2312"/>
                <w:lang w:val="en-US" w:eastAsia="zh-CN"/>
              </w:rPr>
              <w:t>对运输中货损承担</w:t>
            </w:r>
            <w:r>
              <w:rPr>
                <w:rFonts w:hint="eastAsia" w:ascii="方正仿宋_GB2312" w:hAnsi="方正仿宋_GB2312" w:eastAsia="方正仿宋_GB2312" w:cs="方正仿宋_GB2312"/>
                <w:b/>
                <w:bCs/>
                <w:lang w:val="en-US" w:eastAsia="zh-CN"/>
              </w:rPr>
              <w:t>严格责任</w:t>
            </w:r>
            <w:r>
              <w:rPr>
                <w:rFonts w:hint="eastAsia" w:ascii="方正仿宋_GB2312" w:hAnsi="方正仿宋_GB2312" w:eastAsia="方正仿宋_GB2312" w:cs="方正仿宋_GB2312"/>
                <w:lang w:val="en-US" w:eastAsia="zh-CN"/>
              </w:rPr>
              <w:t>，无法举证</w:t>
            </w:r>
            <w:r>
              <w:rPr>
                <w:rFonts w:hint="eastAsia" w:ascii="方正仿宋_GB2312" w:hAnsi="方正仿宋_GB2312" w:eastAsia="方正仿宋_GB2312" w:cs="方正仿宋_GB2312"/>
                <w:b/>
                <w:bCs/>
                <w:lang w:val="en-US" w:eastAsia="zh-CN"/>
              </w:rPr>
              <w:t>不可抗力、托运人过错等</w:t>
            </w:r>
            <w:r>
              <w:rPr>
                <w:rFonts w:hint="eastAsia" w:ascii="方正仿宋_GB2312" w:hAnsi="方正仿宋_GB2312" w:eastAsia="方正仿宋_GB2312" w:cs="方正仿宋_GB2312"/>
                <w:lang w:val="en-US" w:eastAsia="zh-CN"/>
              </w:rPr>
              <w:t>法定免责情形的，需承担赔偿责任，提单批注需结合承运人客观观察条件判定。</w:t>
            </w:r>
            <w:r>
              <w:rPr>
                <w:rFonts w:hint="eastAsia" w:ascii="方正仿宋_GB2312" w:hAnsi="方正仿宋_GB2312" w:eastAsia="方正仿宋_GB2312" w:cs="方正仿宋_GB2312"/>
                <w:b/>
                <w:bCs/>
                <w:lang w:val="en-US" w:eastAsia="zh-CN"/>
              </w:rPr>
              <w:t>保价条款</w:t>
            </w:r>
            <w:r>
              <w:rPr>
                <w:rFonts w:hint="eastAsia" w:ascii="方正仿宋_GB2312" w:hAnsi="方正仿宋_GB2312" w:eastAsia="方正仿宋_GB2312" w:cs="方正仿宋_GB2312"/>
                <w:lang w:val="en-US" w:eastAsia="zh-CN"/>
              </w:rPr>
              <w:t>为</w:t>
            </w:r>
            <w:r>
              <w:rPr>
                <w:rFonts w:hint="eastAsia" w:ascii="方正仿宋_GB2312" w:hAnsi="方正仿宋_GB2312" w:eastAsia="方正仿宋_GB2312" w:cs="方正仿宋_GB2312"/>
                <w:b/>
                <w:bCs/>
                <w:lang w:val="en-US" w:eastAsia="zh-CN"/>
              </w:rPr>
              <w:t>格式条款</w:t>
            </w:r>
            <w:r>
              <w:rPr>
                <w:rFonts w:hint="eastAsia" w:ascii="方正仿宋_GB2312" w:hAnsi="方正仿宋_GB2312" w:eastAsia="方正仿宋_GB2312" w:cs="方正仿宋_GB2312"/>
                <w:lang w:val="en-US" w:eastAsia="zh-CN"/>
              </w:rPr>
              <w:t>，承运人未充分履行提示说明义务或存在擅自转包等重大过失的，条款无效，赔偿按货物实际价值计算，托运人未如实申报价值的按过错自担损失。运输合同中</w:t>
            </w:r>
            <w:r>
              <w:rPr>
                <w:rFonts w:hint="eastAsia" w:ascii="方正仿宋_GB2312" w:hAnsi="方正仿宋_GB2312" w:eastAsia="方正仿宋_GB2312" w:cs="方正仿宋_GB2312"/>
                <w:b/>
                <w:bCs/>
                <w:lang w:val="en-US" w:eastAsia="zh-CN"/>
              </w:rPr>
              <w:t>真实意思表示</w:t>
            </w:r>
            <w:r>
              <w:rPr>
                <w:rFonts w:hint="eastAsia" w:ascii="方正仿宋_GB2312" w:hAnsi="方正仿宋_GB2312" w:eastAsia="方正仿宋_GB2312" w:cs="方正仿宋_GB2312"/>
                <w:lang w:val="en-US" w:eastAsia="zh-CN"/>
              </w:rPr>
              <w:t>的</w:t>
            </w:r>
            <w:r>
              <w:rPr>
                <w:rFonts w:hint="eastAsia" w:ascii="方正仿宋_GB2312" w:hAnsi="方正仿宋_GB2312" w:eastAsia="方正仿宋_GB2312" w:cs="方正仿宋_GB2312"/>
                <w:b/>
                <w:bCs/>
                <w:lang w:val="en-US" w:eastAsia="zh-CN"/>
              </w:rPr>
              <w:t>责任约定</w:t>
            </w:r>
            <w:r>
              <w:rPr>
                <w:rFonts w:hint="eastAsia" w:ascii="方正仿宋_GB2312" w:hAnsi="方正仿宋_GB2312" w:eastAsia="方正仿宋_GB2312" w:cs="方正仿宋_GB2312"/>
                <w:lang w:val="en-US" w:eastAsia="zh-CN"/>
              </w:rPr>
              <w:t>合法有效，托运人虚报货物信息、过错指示运输的，按过错程度自负责任。责任主体区分</w:t>
            </w:r>
            <w:r>
              <w:rPr>
                <w:rFonts w:hint="eastAsia" w:ascii="方正仿宋_GB2312" w:hAnsi="方正仿宋_GB2312" w:eastAsia="方正仿宋_GB2312" w:cs="方正仿宋_GB2312"/>
                <w:b/>
                <w:bCs/>
                <w:lang w:val="en-US" w:eastAsia="zh-CN"/>
              </w:rPr>
              <w:t>合同相对方与相关参与方</w:t>
            </w:r>
            <w:r>
              <w:rPr>
                <w:rFonts w:hint="eastAsia" w:ascii="方正仿宋_GB2312" w:hAnsi="方正仿宋_GB2312" w:eastAsia="方正仿宋_GB2312" w:cs="方正仿宋_GB2312"/>
                <w:lang w:val="en-US" w:eastAsia="zh-CN"/>
              </w:rPr>
              <w:t>，货运代理人、仅为信息中介的网络货运平台不担责，海上运输仅契约托运人对目的港无人提货损失担责。货损认定以第三方公估报告为有效依据，定制货物因延误拒收且无法处置可推定全损，合同纠纷中非直接损失一般不予支持。</w:t>
            </w:r>
          </w:p>
        </w:tc>
      </w:tr>
      <w:tr w14:paraId="11BC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4C275B32">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序号</w:t>
            </w:r>
          </w:p>
        </w:tc>
        <w:tc>
          <w:tcPr>
            <w:tcW w:w="641" w:type="pct"/>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3BB846D2">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案号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1E556072">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案由</w:t>
            </w:r>
          </w:p>
        </w:tc>
        <w:tc>
          <w:tcPr>
            <w:tcW w:w="898" w:type="pct"/>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611DC60F">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争议焦点</w:t>
            </w:r>
          </w:p>
        </w:tc>
        <w:tc>
          <w:tcPr>
            <w:tcW w:w="1277" w:type="pct"/>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7E907513">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关键事实</w:t>
            </w:r>
          </w:p>
        </w:tc>
        <w:tc>
          <w:tcPr>
            <w:tcW w:w="1371" w:type="pct"/>
            <w:tcBorders>
              <w:top w:val="single" w:color="auto" w:sz="4" w:space="0"/>
              <w:left w:val="single" w:color="auto" w:sz="4" w:space="0"/>
              <w:bottom w:val="single" w:color="auto" w:sz="4" w:space="0"/>
              <w:right w:val="single" w:color="auto" w:sz="4" w:space="0"/>
            </w:tcBorders>
            <w:shd w:val="clear" w:color="auto" w:fill="4874CB" w:themeFill="accent1"/>
            <w:tcMar>
              <w:left w:w="108" w:type="dxa"/>
              <w:right w:w="108" w:type="dxa"/>
            </w:tcMar>
            <w:vAlign w:val="center"/>
          </w:tcPr>
          <w:p w14:paraId="68068FD5">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裁判要点、理由</w:t>
            </w:r>
          </w:p>
        </w:tc>
      </w:tr>
      <w:tr w14:paraId="0466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EAB616A">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35904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(2025)最高法知民终756号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6B3941">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侵害发明专利权纠纷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8FAF3E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sz w:val="21"/>
                <w:szCs w:val="21"/>
              </w:rPr>
              <w:t>电商平台销售的产品</w:t>
            </w:r>
            <w:r>
              <w:rPr>
                <w:rFonts w:hint="eastAsia" w:ascii="方正仿宋_GB2312" w:hAnsi="方正仿宋_GB2312" w:eastAsia="方正仿宋_GB2312" w:cs="方正仿宋_GB2312"/>
                <w:b w:val="0"/>
                <w:bCs w:val="0"/>
                <w:sz w:val="21"/>
                <w:szCs w:val="21"/>
              </w:rPr>
              <w:t>是否落入他人外观设计专利权的保护范围，以</w:t>
            </w:r>
            <w:r>
              <w:rPr>
                <w:rFonts w:hint="eastAsia" w:ascii="方正仿宋_GB2312" w:hAnsi="方正仿宋_GB2312" w:eastAsia="方正仿宋_GB2312" w:cs="方正仿宋_GB2312"/>
                <w:sz w:val="21"/>
                <w:szCs w:val="21"/>
              </w:rPr>
              <w:t>及专利权人滥用诉权的认定。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87200D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露韦美公司起诉宇树科技，指控其在电商平台销售的“Gox”机器狗侵犯其名为“一种电子狗”的发明专利。露韦美公司主张宇树科技的产品全面覆盖其专利技术特征，构成侵权。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13533D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最高人民法院经审理认为，被诉侵权产品缺少涉案专利中的“液位传感器”、“气体传感器”和“可变色的仿生毛皮”三项关键技术特征，不构成侵权。同时，法院指出露韦美公司在获权5天后即发起诉讼，且诉讼行为反复无常，有违诚信原则，对其行为予以谴责，最终驳回露韦美公司的上诉请求。</w:t>
            </w:r>
            <w:r>
              <w:rPr>
                <w:rFonts w:hint="eastAsia" w:ascii="方正仿宋_GB2312" w:hAnsi="方正仿宋_GB2312" w:eastAsia="方正仿宋_GB2312" w:cs="方正仿宋_GB2312"/>
                <w:sz w:val="21"/>
                <w:szCs w:val="21"/>
              </w:rPr>
              <w:t xml:space="preserve">  </w:t>
            </w:r>
          </w:p>
        </w:tc>
      </w:tr>
      <w:tr w14:paraId="1370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1106F81">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757710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（2024）最高法民再224号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9C2414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590FE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电商经营者将他人知名商标或字号登记为企业名称，是否构成侵权。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7C7527B">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某牛公司（原告）拥有“某牛”系列驰名商标及知名商号；某牛王公司（被告）在电商平台经营同类产品，将“某牛”登记为企业字号（即便尚未大规模实际经营）。</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9E8A9D6">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法院认为，被告将原告具有较高知名度的字号登记为企业字号的行为，属于法律禁止的仿冒行为；即便被告未实际开展大规模经营，只要具有使用意图（如申请商标、申报年报等体现的使用目的），该行为即构成不正当竞争。该案确立“登记即侵权”规则，从源头制止“傍名牌”行为——只要行为人具有利用他人知名商号商誉的意图，即便未实际经营，也需承担侵权责任。</w:t>
            </w:r>
          </w:p>
        </w:tc>
      </w:tr>
      <w:tr w14:paraId="7584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8918CBD">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FD15CEF">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（2022）最高法知民终2021号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60BCDEC">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侵害发明专利权纠纷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6734577">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电商平台上的产品展示信息（如“厂家直销”、产品型号）能否作为认定制造行为的依据。</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2E42BA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意大利某公司拥有“用于破碎并筛分石头的铲斗”发明专利。山东某公司在电商平台发布产品信息，并标注“厂家直销”等字样，但辩称产品照片是网上下载的，并非自己制造。</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8CECEC4">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法院认为，电商平台展示的“厂家直销”“产地”“型号”“数量”等信息，结合产品工作原理与专利一致的事实，可合理推定被告存在制造行为。</w:t>
            </w:r>
          </w:p>
          <w:p w14:paraId="110F55A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被告在电商页面主动标注“厂家直销”（暗示自身为生产者）、“产地”“型号”等生产环节信息，且产品照片、工作原理与专利产品完全对应，这些行为足以使消费者或公众产生“被告是产品制造者”的认知。被告辩称“照片网上下载、未实际制造”，但未提供充分反证（如合法授权、真实生产记录等）推翻该推定。</w:t>
            </w:r>
          </w:p>
        </w:tc>
      </w:tr>
      <w:tr w14:paraId="776F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33686A2">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4887B72">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(2021)京民终841号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0E36CD">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侵害外观设计专利权纠纷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6D303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1.被控侵权的家具产品与美克家居的涉案外观设计专利在整体视觉效果上是否构成近似。</w:t>
            </w:r>
          </w:p>
          <w:p w14:paraId="59D1697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2.被告是否实施了制造、销售、许诺销售等侵权行为，以及应承担的赔偿责任。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2AADD66">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美克家居发现被告北京百川时代公司在某家具卖场销售、许诺销售一款沙发，认为该沙发与自己的专利产品外观高度相似，遂起诉至法院，要求被告停止侵权并赔偿损失。</w:t>
            </w:r>
          </w:p>
          <w:p w14:paraId="523312F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被告辩称，其销售的产品与美克家居的专利产品在坐垫数量、支脚数量、背部划分等方面存在明显差异，不构成侵权。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A30908D">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二审法院判决驳回上诉，维持原判。该判决为终审判决。</w:t>
            </w:r>
          </w:p>
          <w:p w14:paraId="207210D7">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法院认为，现有证据不足以证明被告（被上诉人）存在“共同制造”被控侵权产品的行为。原告（上诉人）提交的工商信息、关联关系等证据，仅能说明被告之间存在一定联系，但无法形成完整证据链，证明其存在共同制造的主观合意和客观行为。现有证据不能明确指向所交易的产品即为侵犯涉案外观设计专利的具体产品，不足以认定被告实施了销售侵权产品的行为。</w:t>
            </w:r>
          </w:p>
          <w:p w14:paraId="6C536CE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同时，被告（被上诉人）提出的“合法来源”抗辩成立，依法可免除赔偿责任。</w:t>
            </w:r>
          </w:p>
        </w:tc>
      </w:tr>
      <w:tr w14:paraId="3026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5A17C65">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C24D0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(2022) 沪0115民初88060号</w:t>
            </w:r>
          </w:p>
          <w:p w14:paraId="086D09C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9BDCA7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侵害作品信息网络传播权纠纷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3E95806">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1.原告是否对涉案摄影作品享有著作权。</w:t>
            </w:r>
          </w:p>
          <w:p w14:paraId="4D4612D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2.被告的行为是否构成侵权。</w:t>
            </w:r>
          </w:p>
          <w:p w14:paraId="096CB7AB">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3.若构成侵权，被告应承担的民事责任（包括赔偿数额的确定）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4C5B8D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原告上海品望文化发展有限公司系涉案摄影作品的著作权人。被告马素芹未经原告许可，擅自在其经营的淘宝店铺中使用了涉案摄影作品，用于商品宣传或销售。</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9161E87">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法院认定原告系涉案作品的著作权人，享有相关权利：原告提交了涉案摄影作品的底稿、合法出版物及著作权登记证书等证据。</w:t>
            </w:r>
          </w:p>
          <w:p w14:paraId="0ACA3D26">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被告未经许可，在其经营的淘宝店铺中使用涉案摄影作品，该行为侵害了原告对涉案作品享有的信息网络传播权。</w:t>
            </w:r>
          </w:p>
          <w:p w14:paraId="278B640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法院综合考虑涉案作品的独创性、被告的主观过错程度、侵权行为的性质及后果等因素，酌情确定了赔偿数额（包括原告为维权支出的合理费用）。</w:t>
            </w:r>
          </w:p>
        </w:tc>
      </w:tr>
      <w:tr w14:paraId="2F53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B320132">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DA61EE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(2021)沪73民终708号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3101A5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p w14:paraId="39C8C6D0">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CD2BF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电商平台商品链接标题中使用“阳山”地理标志商标，但实际销售非该产地产品，是否构成商标侵权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A6E889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1.原告拥有“阳山”地理标志证明商标。</w:t>
            </w:r>
            <w:r>
              <w:rPr>
                <w:rFonts w:hint="eastAsia" w:ascii="方正仿宋_GB2312" w:hAnsi="方正仿宋_GB2312" w:eastAsia="方正仿宋_GB2312" w:cs="方正仿宋_GB2312"/>
                <w:i w:val="0"/>
                <w:iCs w:val="0"/>
                <w:color w:val="000000"/>
                <w:kern w:val="0"/>
                <w:sz w:val="21"/>
                <w:szCs w:val="21"/>
                <w:u w:val="none"/>
                <w:lang w:val="en-US" w:eastAsia="zh-CN" w:bidi="ar"/>
              </w:rPr>
              <w:br w:type="textWrapping"/>
            </w:r>
            <w:r>
              <w:rPr>
                <w:rFonts w:hint="eastAsia" w:ascii="方正仿宋_GB2312" w:hAnsi="方正仿宋_GB2312" w:eastAsia="方正仿宋_GB2312" w:cs="方正仿宋_GB2312"/>
                <w:i w:val="0"/>
                <w:iCs w:val="0"/>
                <w:color w:val="000000"/>
                <w:kern w:val="0"/>
                <w:sz w:val="21"/>
                <w:szCs w:val="21"/>
                <w:u w:val="none"/>
                <w:lang w:val="en-US" w:eastAsia="zh-CN" w:bidi="ar"/>
              </w:rPr>
              <w:t>2.被告在其网店销售水蜜桃的商品链接标题、描述中突出使用“阳山”字样。</w:t>
            </w:r>
            <w:r>
              <w:rPr>
                <w:rFonts w:hint="eastAsia" w:ascii="方正仿宋_GB2312" w:hAnsi="方正仿宋_GB2312" w:eastAsia="方正仿宋_GB2312" w:cs="方正仿宋_GB2312"/>
                <w:i w:val="0"/>
                <w:iCs w:val="0"/>
                <w:color w:val="000000"/>
                <w:kern w:val="0"/>
                <w:sz w:val="21"/>
                <w:szCs w:val="21"/>
                <w:u w:val="none"/>
                <w:lang w:val="en-US" w:eastAsia="zh-CN" w:bidi="ar"/>
              </w:rPr>
              <w:br w:type="textWrapping"/>
            </w:r>
            <w:r>
              <w:rPr>
                <w:rFonts w:hint="eastAsia" w:ascii="方正仿宋_GB2312" w:hAnsi="方正仿宋_GB2312" w:eastAsia="方正仿宋_GB2312" w:cs="方正仿宋_GB2312"/>
                <w:i w:val="0"/>
                <w:iCs w:val="0"/>
                <w:color w:val="000000"/>
                <w:kern w:val="0"/>
                <w:sz w:val="21"/>
                <w:szCs w:val="21"/>
                <w:u w:val="none"/>
                <w:lang w:val="en-US" w:eastAsia="zh-CN" w:bidi="ar"/>
              </w:rPr>
              <w:t>3.被告销售的产品并非产自阳山水蜜桃产区</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A3BEEC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在电子商务环境中，商品标题和关键词是消费者识别商品来源的核心要素。经营者未经许可，在相同商品上将他人地理标志商标作为关键词使用，足以导致相关公众对商品产地等特定品质产生误认，该使用行为属于商标性使用，构成商标侵权。</w:t>
            </w:r>
          </w:p>
        </w:tc>
      </w:tr>
      <w:tr w14:paraId="6F67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EB29BA1">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E3C0E2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(2025)浙08民终563号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6D7F79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483177B">
            <w:pPr>
              <w:jc w:val="both"/>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lang w:val="en-US" w:eastAsia="zh-CN"/>
              </w:rPr>
              <w:t>1.被诉行为是否侵犯了华某公司的注册商标专用权。</w:t>
            </w:r>
          </w:p>
          <w:p w14:paraId="6086246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2.被诉行为是否构成擅自使用他人有一定影响的商业标识等混淆行为。3.一审法院以侵权期间带货佣金为基数适用3倍惩罚性赔偿（合计110万元）是否恰当。</w:t>
            </w:r>
            <w:r>
              <w:rPr>
                <w:rFonts w:hint="eastAsia" w:ascii="方正仿宋_GB2312" w:hAnsi="方正仿宋_GB2312" w:eastAsia="方正仿宋_GB2312" w:cs="方正仿宋_GB2312"/>
                <w:b w:val="0"/>
                <w:bCs w:val="0"/>
                <w:sz w:val="21"/>
                <w:szCs w:val="21"/>
              </w:rPr>
              <w:t xml:space="preserve">  </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F1F5DE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被告衢州市大某电子商务有限公司及其实际控制人张某，在短视频及直播带货中实施了“全流程仿冒”行为。其通过制作带有“华某”标识的短视频引流，并装修与华某实体店高度相似的直播间，在直播中以贴片、话术等方式使用“华某”标识。然而，其实际销售的是其他品牌产品。</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815A467">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二审法院判决驳回上诉，维持原判。法院认为，被告对“华某”商标的使用已超出“指示商品来源”的正当使用范畴，属于商业性使用，足以导致消费者混淆，构成侵权。</w:t>
            </w:r>
          </w:p>
          <w:p w14:paraId="11CD6BCE">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被告擅自使用原告具有较高知名度的企业名称和商品名称进行引流，属于“搭便车”行为，主观上具有攀附商誉的恶意，构成不正当竞争。</w:t>
            </w:r>
          </w:p>
          <w:p w14:paraId="5412A866">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鉴于被告行为主观恶意明显、侵权情节严重，且在诉讼中企图通过减资规避责任，法院支持一审判决，以侵权获利为基数适用3倍惩罚性赔偿，判决赔偿110万元。</w:t>
            </w:r>
          </w:p>
        </w:tc>
      </w:tr>
      <w:tr w14:paraId="3D86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AC87837">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E7301C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(2025)浙01民终10317号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1C711B9">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p w14:paraId="03E8F2CC">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0EF66F">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1.被告使用“武鸣某柑”字样是否构成商标侵权。</w:t>
            </w:r>
          </w:p>
          <w:p w14:paraId="6B5E298D">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2.被告的行为是否构成不正当竞争。</w:t>
            </w:r>
          </w:p>
          <w:p w14:paraId="34051B1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3.赔偿数额如何确定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68F2691">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南宁市某产业联合会（原告）拥有“武鸣某柑”地理标志证明商标。宾川某商务中心（被告）在电商平台销售沃柑时，在商品标题和主图中突出使用“武鸣某柑”字样，但实际发货地为云南，且商品详情显示品牌为“滇圣”。原告认为被告构成商标侵权及不正当竞争，要求赔偿。</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90BC9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法院认为，被告在商品标题和主图中使用“武鸣某柑”字样，起到了识别商品来源的作用，属于商标性使用。该标识与原告商标相同，且商品类别相同，容易导致消费者混淆，构成商标侵权。同时，被告的行为也构成不正当竞争。关于赔偿数额，法院综合考虑侵权情节、销售金额等因素，酌情确定赔偿金额。</w:t>
            </w:r>
          </w:p>
        </w:tc>
      </w:tr>
      <w:tr w14:paraId="7D8B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03C3937">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F4835A9">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w:t>
            </w:r>
          </w:p>
          <w:p w14:paraId="3577467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(2021)最高法知民终2298号</w:t>
            </w:r>
          </w:p>
          <w:p w14:paraId="12E67BD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7D0479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侵害技术秘密纠纷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5377D3A">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1.涉案软件源代码是否构成法律保护的技术秘密。</w:t>
            </w:r>
          </w:p>
          <w:p w14:paraId="16B05FA3">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2.盘兴公司的行为是否构成侵权。</w:t>
            </w:r>
          </w:p>
          <w:p w14:paraId="0EDBC3D0">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3.侵权责任的承担方式，特别是赔偿数额如何确定。</w:t>
            </w:r>
          </w:p>
          <w:p w14:paraId="7B26617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4.盘兴公司的唯一股东浙江盘石信息技术股份有限公司是否应承担连带责任。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ABE7F8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深圳花儿绽放网络科技股份有限公司与浙江盘兴数智科技股份有限公司签订了《源代码使用许可合同》，授权盘兴公司使用其“有客多”小程序源代码。然而，盘兴公司的员工违反保密义务，将源代码上传至GitHub等公开平台，导致技术秘密泄露。</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394EDA2">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法院认定涉案源代码具有秘密性、价值性且采取了保密措施，构成技术秘密。盘兴公司违反保密义务披露源代码，构成侵权。</w:t>
            </w:r>
          </w:p>
          <w:p w14:paraId="5024EEF6">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花儿绽放公司主张赔偿5000余万元，法院审查认为其提交的鉴定报告存在数据不合逻辑、未考虑技术价值衰减等因素，不予采信。</w:t>
            </w:r>
          </w:p>
          <w:p w14:paraId="77CCF26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由于源代码已被公开，法院综合考虑研发成本、实施收益、竞争优势丧失等因素，酌定赔偿500万元。盘兴公司为一人有限责任公司，依法承担连带赔偿责任。</w:t>
            </w:r>
          </w:p>
        </w:tc>
      </w:tr>
      <w:tr w14:paraId="3591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75EC5C0A">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90148D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 陕05知民终16号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08294B9">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927B49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1.被告使用“双虎”商标标识是否构成商标侵权？</w:t>
            </w:r>
          </w:p>
          <w:p w14:paraId="23D54C85">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2.被告销售非“双虎”产品、混合陈列的行为是否构成不正当竞争？</w:t>
            </w:r>
          </w:p>
          <w:p w14:paraId="44EBDF06">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3.一审判决的赔偿金额是否合理？</w:t>
            </w:r>
          </w:p>
          <w:p w14:paraId="095013BE">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4.一审判决某甲公司构成不正当竞争是否某乙公司的诉讼请求</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A6D16A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原告作为“双虎”系列商标的合法权利人，曾授权案外人王某乙经营相关店铺。被告公司在王某乙授权期结束后于原址成立并继续使用“双虎”商标，但其在实际经营中混合销售“双虎”品牌及其他多个品牌的产品。</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39B0127">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法院认为，原告的诉讼请求已明确包含主张被告构成不正当竞争，故一审审理范围并未超出诉请。法院确认双方通过持续的供货与收款行为，形成了事实上的合同延续关系，因此被告使用“双虎”商标本身具有合法基础，不构成商标侵权。然而，被告在店铺内多处醒目位置使用“双虎”标识，却大量陈列、销售非“双虎”品牌商品，该行为客观上攀附了“双虎”品牌的商誉，易使相关公众误认为其销售的所有商品均来源于原告或与原告存在特定联系，构成混淆行为。</w:t>
            </w:r>
          </w:p>
        </w:tc>
      </w:tr>
      <w:tr w14:paraId="7A32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678709B">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59F37D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(2025)川18知民终2号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FE0AAF1">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3C4485">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1.被告火锅店的使用行为是否侵犯了原告“小某坎”注册商标专用权。</w:t>
            </w:r>
          </w:p>
          <w:p w14:paraId="3CAC4DED">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2.被告火锅店是否应承担侵权赔偿责任。</w:t>
            </w:r>
          </w:p>
          <w:p w14:paraId="212DDA7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 xml:space="preserve">3.登记经营者朱某英是否应对侵权行为承担连带责任？4.连带责任的金额范围如何确定？（特别是关于“惩罚性赔偿部分”是否由其承担的问题）   </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27FAD69">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1.被告雅安市雨城区某火锅店在经营活动中，持续在店招、门头、菜单、店内装饰及网络宣传中使用与原告注册且具有一定知名度的商标“小某坎”相同或高度近似的标识。</w:t>
            </w:r>
          </w:p>
          <w:p w14:paraId="1D6FEBBB">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2.朱某英系该火锅店在侵权行为发生期间的登记经营者（个体工商户经营者）。</w:t>
            </w:r>
          </w:p>
          <w:p w14:paraId="7EABD281">
            <w:pPr>
              <w:jc w:val="both"/>
              <w:rPr>
                <w:rFonts w:hint="eastAsia" w:ascii="方正仿宋_GB2312" w:hAnsi="方正仿宋_GB2312" w:eastAsia="方正仿宋_GB2312" w:cs="方正仿宋_GB2312"/>
              </w:rPr>
            </w:pP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5AAA019">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法院认为，被告在被诉侵权店铺的店招及宣传中使用与“小某坎”相同或高度近似的标识，标识起到了识别服务来源的作用，且服务类别与原告注册商标核定使用的类别相同。该使用方式足以使相关公众误认为被告店铺与原告存在特定联系，造成混淆，因此构成对注册商标专用权的侵犯。</w:t>
            </w:r>
          </w:p>
          <w:p w14:paraId="03FE00DE">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朱某英在侵权期间登记为经营者，依法推定为该期间的责任主体。法院认定其需对相应侵权期间的损害承担连带赔偿责任。</w:t>
            </w:r>
          </w:p>
          <w:p w14:paraId="358D3CF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法院明确认定朱某英作为原登记经营者，不应对侵权行为中的惩罚性赔偿部分承担责任。</w:t>
            </w:r>
          </w:p>
        </w:tc>
      </w:tr>
      <w:tr w14:paraId="5086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D372E3D">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C26893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（2005）新民三终字第7号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A262554">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31A1E0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1.“香梨”是否为通用名称。</w:t>
            </w:r>
          </w:p>
          <w:p w14:paraId="19F48709">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2.是否构成商标侵权。</w:t>
            </w:r>
          </w:p>
          <w:p w14:paraId="0158176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3.判决是否超出诉讼请求。</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4A7A3F">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1.被上诉人巴音郭楞蒙古自治州库尔勒香梨协会是“库尔勒香梨”证明商标的注册人，该商标于1996年经国家商标局核准注册，核定使用商品为第31类“香梨”。</w:t>
            </w:r>
          </w:p>
          <w:p w14:paraId="4B07ED2E">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2.上诉人库尔勒希伯来纸业有限公司未经香梨协会许可，在其印制的包装箱上使用了“新疆香梨”、“新疆特产香梨”、“香梨生产基地”等字样。香梨协会认为该行为侵犯了其证明商标专用权，遂诉至法院。</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2DC1990">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法院认为，香梨协会制定的《“库尔勒香梨”证明商标使用管理规则》明确备注“库尔勒香梨，新疆习惯简称为香梨”。因此，使用“香梨”二字与使用“库尔勒香梨”五个字的侵权性质相同，均构成对证明商标专用权的侵害。</w:t>
            </w:r>
          </w:p>
          <w:p w14:paraId="482F44D3">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纸业公司未经许可，在包装物上大量使用“香梨”字样，导致其包装物上的文字与香梨协会的注册商标近似，足以在销售环节导致消费者对商品来源产生误认，构成商标侵权。</w:t>
            </w:r>
          </w:p>
          <w:p w14:paraId="445CC1B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香梨协会在诉讼请求中明确要求“停止侵害”，而销毁库存侵权包装物是停止侵害的具体执行方式，符合法律规定。一审判决未超出诉讼请求。</w:t>
            </w:r>
          </w:p>
        </w:tc>
      </w:tr>
      <w:tr w14:paraId="568B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397EFEA">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90C790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(2025)浙民终1096号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5798160">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侵害外观设计专利权纠纷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CD9AC9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 xml:space="preserve">1.被诉侵权设计与授权外观设计是否构成近似。 </w:t>
            </w:r>
          </w:p>
          <w:p w14:paraId="63326671">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2.被告的合法来源抗辩是否成立。</w:t>
            </w:r>
          </w:p>
          <w:p w14:paraId="61278045">
            <w:pPr>
              <w:jc w:val="both"/>
              <w:rPr>
                <w:rFonts w:hint="eastAsia" w:ascii="方正仿宋_GB2312" w:hAnsi="方正仿宋_GB2312" w:eastAsia="方正仿宋_GB2312" w:cs="方正仿宋_GB2312"/>
              </w:rPr>
            </w:pP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CAA725">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义乌漱缘电子商务商行在电商平台上开设店铺销售一款与被诉侵权产品外观相同或近似的商品。</w:t>
            </w:r>
          </w:p>
          <w:p w14:paraId="4EF0DAED">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漱缘商行在商品详情页展示的图片与邬露波专利设计在整体视觉效果上高度相似。原告邬露波诉请判令漱缘商行立即停止销售、许诺销售被诉侵权产品，并赔偿经济损失及合理维权费用。</w:t>
            </w:r>
          </w:p>
          <w:p w14:paraId="03C153D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一审法院认定漱缘商行构成侵权，判令其停止侵权并赔偿一定金额。</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0053B8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未公证购买的链接项下的产品应认定为侵权产品。漱某商行的合法来源抗辩不成立。漱某商行关于“图片由软件抓取、过错仅在于未充分审查”的理由不能成立。涉案公证书图片和视频清晰显示，各链接中产品的外观与涉案专利相比，仅在手柄形状、耳朵和按键有无图案上存在细微区别，整体视觉效果无实质性差异，构成近似。因此，一审法院认定漱某商行的合法来源抗辩不能成立，亦无不当。</w:t>
            </w:r>
          </w:p>
        </w:tc>
      </w:tr>
      <w:tr w14:paraId="4A23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14A482B">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FCDF99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(2026)豫1403知民初27号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4F346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84AFB74">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1.案涉语音数据集能否作为民事权益受《反不正当竞争法》保护。</w:t>
            </w:r>
          </w:p>
          <w:p w14:paraId="165BB943">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2.《数据知识产权登记证》在司法中是否具有证明力。</w:t>
            </w:r>
          </w:p>
          <w:p w14:paraId="17995EFF">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3.隐某公司的行为是否构成不正当竞争。</w:t>
            </w:r>
          </w:p>
          <w:p w14:paraId="4F279FF0">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olor w:val="000000"/>
                <w:kern w:val="0"/>
                <w:sz w:val="21"/>
                <w:szCs w:val="21"/>
                <w:u w:val="none"/>
                <w:lang w:val="en-US" w:eastAsia="zh-CN" w:bidi="ar"/>
              </w:rPr>
              <w:t>4.侵权成立后，应如何确定赔偿数额及责任形式。</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FE2AA7F">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被告隐某（上海）科技有限公司未经许可，在其运营的拼多多店铺“某店铺”中，销售标注“AW大王”“某商标”字样的商品，商品功能、用途、外观、销售渠道、消费群体与原告高度重合，足以使消费者混淆。</w:t>
            </w:r>
          </w:p>
          <w:p w14:paraId="1DBC4DF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原告委托代理人购买涉案商品1件并申请公证处出具公证书，向拼多多平台申请披露店铺信息，获知店铺入驻人“王某”及联系方式、地址、身份信息。</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3F1B9F2">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案涉语音数据集是数某公司经合法授权收集、整理的成果，具有商业价值，且被告未经许可传播部分数据，实质性替代了原告的数据集产品或服务，扰乱市场竞争秩序。法院依据《反不正当竞争法》认定被告构成不正当竞争。</w:t>
            </w:r>
          </w:p>
          <w:p w14:paraId="24DA9DFE">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《数据知识产权登记证》是数据来源合法、权利归属的初步证据，可辅助证明原告对数据的财产性利益。</w:t>
            </w:r>
          </w:p>
          <w:p w14:paraId="6D045E6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法院判定停止侵权、消除影响、赔偿损失。</w:t>
            </w:r>
          </w:p>
        </w:tc>
      </w:tr>
      <w:tr w14:paraId="0D85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2AA16E8">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9E5B0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(2025)冀10民初1049号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F8E4FC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侵害外观设计专利权纠纷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0D91DCB">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1.被诉侵权产品的外观设计是否落入涉案外观设计专利权的保护范围。</w:t>
            </w:r>
          </w:p>
          <w:p w14:paraId="1C264F4C">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2.各被告是否存在制造、销售、许诺销售被诉侵权产品的行为。</w:t>
            </w:r>
          </w:p>
          <w:p w14:paraId="53B36254">
            <w:pPr>
              <w:jc w:val="both"/>
              <w:rPr>
                <w:rFonts w:hint="eastAsia" w:ascii="方正仿宋_GB2312" w:hAnsi="方正仿宋_GB2312" w:eastAsia="方正仿宋_GB2312" w:cs="方正仿宋_GB2312"/>
                <w:i w:val="0"/>
                <w:iCs w:val="0"/>
                <w:color w:val="000000"/>
                <w:kern w:val="0"/>
                <w:sz w:val="21"/>
                <w:szCs w:val="21"/>
                <w:u w:val="none"/>
                <w:lang w:val="en-US" w:eastAsia="zh-CN" w:bidi="ar"/>
              </w:rPr>
            </w:pPr>
            <w:r>
              <w:rPr>
                <w:rFonts w:hint="eastAsia" w:ascii="方正仿宋_GB2312" w:hAnsi="方正仿宋_GB2312" w:eastAsia="方正仿宋_GB2312" w:cs="方正仿宋_GB2312"/>
                <w:i w:val="0"/>
                <w:iCs w:val="0"/>
                <w:color w:val="000000"/>
                <w:kern w:val="0"/>
                <w:sz w:val="21"/>
                <w:szCs w:val="21"/>
                <w:u w:val="none"/>
                <w:lang w:val="en-US" w:eastAsia="zh-CN" w:bidi="ar"/>
              </w:rPr>
              <w:t>3.被告的合法来源抗辩、现有设计抗辩是否成立。</w:t>
            </w:r>
          </w:p>
          <w:p w14:paraId="7864FE3C">
            <w:pPr>
              <w:jc w:val="both"/>
              <w:rPr>
                <w:rFonts w:hint="eastAsia" w:ascii="方正仿宋_GB2312" w:hAnsi="方正仿宋_GB2312" w:eastAsia="方正仿宋_GB2312" w:cs="方正仿宋_GB2312"/>
              </w:rPr>
            </w:pP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E35A2CE">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 xml:space="preserve"> 香河县某有限公司、香河某、桂某、赵某在经营场所及微信、抖音平台，使用“百达丹顿”标识宣传、销售被诉侵权产品；赵某是“百达丹顿”注册商标专用权人，参与销售和宣传；张某丙销售、许诺销售被诉侵权产品，主张产品来自“匠心某厂”，但未提供合法来源的充分证据。  </w:t>
            </w:r>
          </w:p>
          <w:p w14:paraId="72A4027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原告通过公证等方式固定证据，证明被告销售的产品外观与涉案专利高度近似；</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CDF7A98">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1.被诉侵权产品与专利产品均为电视柜，经比对虽在孔洞数量、仰视图格子数量、底部支撑结构长度上有细微差异，但整体视觉效果无实质性差异。因此，被诉侵权产品的外观设计落入涉案专利保护范围。</w:t>
            </w:r>
          </w:p>
          <w:p w14:paraId="5B54B028">
            <w:pPr>
              <w:jc w:val="both"/>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香河县某有限公司、香河某、桂某、赵某通过经营场所、线上平台宣传、销售被诉侵权产品，张某丙销售、许诺销售被诉侵权产品，构成销售、许诺销售行为；香河县某有限公司的“制造行为”，原告证据不足，不予支持。</w:t>
            </w:r>
          </w:p>
          <w:p w14:paraId="11B60E4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val="0"/>
                <w:bCs w:val="0"/>
                <w:sz w:val="21"/>
                <w:szCs w:val="21"/>
                <w:lang w:val="en-US" w:eastAsia="zh-CN"/>
              </w:rPr>
              <w:t>3.张某丙提交的抖音视频画面不完整，无法判断关键设计特征，现有设计抗辩不成立。香河县某有限公司应具备较强认知能力，但未尽到合理注意义务；且其提交的截图单据不足以证明合法来源，抗辩不成立。张某丙提交的“电子打印件销售单”无盖章、签名，也未提交付款凭证，无法证明合法来源，抗辩不成立。</w:t>
            </w:r>
          </w:p>
        </w:tc>
      </w:tr>
      <w:tr w14:paraId="766C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6BB3484">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16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5D8BDA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（2017）最高法民再151号【指导性案例161号】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77934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2A5CB1">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加多宝公司使用“全国销量领先的红罐凉茶改名加多宝”广告语是否构成虚假宣传，是否不正当占用“王老吉”商誉并误导消费者。</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CC2A420">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1.加多宝公司曾长期经许可使用“王老吉”商标生产红罐凉茶，2012年商标许可终止后改推“加多宝”品牌。</w:t>
            </w:r>
          </w:p>
          <w:p w14:paraId="209F5CC5">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2.广告语中“全国销量领先”有统计数据支撑，“改名加多宝”为客观描述品牌变更事实。</w:t>
            </w:r>
          </w:p>
          <w:p w14:paraId="0A263FB7">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3.相关公众普遍认知中，红罐凉茶的实际经营者为加多宝公司，广告语客观上起到告知品牌变更的作用。</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DC9831D">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人民法院认定广告是否构成反不正当竞争法规定的虚假宣传行为，应结合相关广告语的内容是否有歧义，是否易使相关公众产生误解以及行为人是否有虚假宣传的过错等因素判断。一方当事人基于双方曾经的商标使用许可合同关系以及自身为提升相关商标商誉所做出的贡献等因素，发布涉案广告语，告知消费者基本事实，符合客观情况，不存在易使相关公众误解的可能，也不存在不正当地占用相关商标的知名度和良好商誉的过错，不构成反不正当竞争法规定的虚假宣传行为。</w:t>
            </w:r>
          </w:p>
        </w:tc>
      </w:tr>
      <w:tr w14:paraId="70F7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34A094D">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17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6875C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(2013)渝高法民终字第00292号【指导性案例58号】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D40DB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058D696">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1.余晓华、重庆同德福公司登记其个体工商户字号、企业字号的行为是否构成不正当竞争；</w:t>
            </w:r>
          </w:p>
          <w:p w14:paraId="2D1AD652">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2.重庆同德福公司、余晓华使用其字号及标注“同德福颂”的行为是否构成突出使用并侵犯商标权；</w:t>
            </w:r>
          </w:p>
          <w:p w14:paraId="60A76BDF">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3.成都同德福公司是否存在虚假宣传行为。</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D3213CB">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1.“同德福”为历史上具有知名度的老商号，重庆方经营者系其直系后代，字号登记具有历史渊源；</w:t>
            </w:r>
          </w:p>
          <w:p w14:paraId="484190DB">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2.重庆方在产品包装中规范使用企业全称，未突出“同德福”字样；3.成都方在宣传中冒用历史荣誉，自称“百年老牌”但无法证明与老字号的实质关联。</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DB72FE0">
            <w:pPr>
              <w:keepNext w:val="0"/>
              <w:keepLines w:val="0"/>
              <w:widowControl/>
              <w:suppressLineNumbers w:val="0"/>
              <w:spacing w:before="0" w:beforeAutospacing="0" w:after="0" w:afterAutospacing="0" w:line="165" w:lineRule="atLeast"/>
              <w:ind w:left="0" w:leftChars="0" w:right="0" w:rightChars="0"/>
              <w:jc w:val="both"/>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判断经营者将他人在先注册的商标登记为个体工商户字号的行为是否构成不正当竞争，应从以下两个角度分析：首先，根据经营范围，判断二者是否与存在竞争关系；其次，根据经营者的具体使用情况，判断其行为是否违反了诚实信用原则。由于经营者将前辈直系亲属所经营过的、具有一定知名度的商号登记为个体工商户字号的行为是善意的，且没有违反诚实信用原则，因此，即使二者存在竞争关系，他人在先注册了该商标，经营者的行为也不构成不正当竞争。</w:t>
            </w:r>
          </w:p>
        </w:tc>
      </w:tr>
      <w:tr w14:paraId="587C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3EA411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18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496E4B2">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(2015)沪知民终字第161号【公报案例】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EFBD1B2">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9F1FB1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1.被上诉人阔盛公司、欧苏公司的行为是否构成商标侵权；</w:t>
            </w:r>
          </w:p>
          <w:p w14:paraId="7EBE917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2.阔盛公司、欧苏公司的行为是否构成虚假宣传。</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1B1C12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1.开德阜公司曾以“洁水”商标独家代理销售德国某品牌产品，代理关系终止后，阔盛公司成为该品牌新代理商。</w:t>
            </w:r>
          </w:p>
          <w:p w14:paraId="0EF489B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 阔盛公司、欧苏公司在宣传中使用了“原德国洁水、现德国阔盛”等用语，并同时说明代理商及品牌变更的背景事实。</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3BD942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经营者为说明品牌代理销售商的变化，在善意、合理的限度内使用他人注册商标，属于商标正当使用，不构成商标侵权。在如实、详细告知消费者商品销售代理商及品牌变化的情况下，新代理商在宣传中使用原代理商注册商标不会导致相关公众产生误解，不构成虚假宣传。</w:t>
            </w:r>
          </w:p>
        </w:tc>
      </w:tr>
      <w:tr w14:paraId="30DA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31554D0">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19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64D1FB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（2012）沪二中民五（知）初字第86号【公报案例】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BE5414">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15D131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1.被告锦天公司的行为是否构成侵害原告维多利亚的秘密公司的注册商标专用权；</w:t>
            </w:r>
          </w:p>
          <w:p w14:paraId="6C3DADF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2.被告的行为是否构成不正当竞争；</w:t>
            </w:r>
          </w:p>
          <w:p w14:paraId="09FB994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3.本案的赔偿问题。</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94CCA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维多利亚的秘密系商标权人，其母公司LBI曾授权被告锦天公司在中国销售库存正品，但明确限制销售渠道。锦天公司在销售中使用原告商标，并对外宣称其为“美国顶级内衣品牌维多利亚秘密唯一指定总经销商”，以此发展批发业务。</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4301F8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国外某品牌拥有者在国内就该品牌注册了商标，但又在国外将该品牌商品授权他人处分，国内经销商通过正规渠道从该被授权人处进口该品牌正牌商品并在国内转售的，根据商标权利用尽原则，该进口并转售的正牌商品不会造成相关公众对所售商品来源的混淆、误认，不构成商标侵权。</w:t>
            </w:r>
          </w:p>
        </w:tc>
      </w:tr>
      <w:tr w14:paraId="7B6A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0D5B9F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20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5D3269D">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(2007)民三终字第2号【公报案例】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AFCC139">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不正当竞争、虚假宣传纠纷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FA79DB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1.携程公司（携程计算机公司、携程商务公司）是否超越经营范围从事机票销售代理业务；</w:t>
            </w:r>
          </w:p>
          <w:p w14:paraId="593345A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2.其相关宣传行为是否构成虚假宣传或不正当竞争；</w:t>
            </w:r>
          </w:p>
          <w:p w14:paraId="2E49547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3.相关合作方是否构成帮助侵权。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1821D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1.携程公司通过“携程旅行网”提供机票查询、预订及送票服务，但未直接持有航空销售代理业务经营批准证书，实际出票由具有资质的合作方（如康辉服务公司、北京携程公司）完成；</w:t>
            </w:r>
          </w:p>
          <w:p w14:paraId="32E2DCD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2.携程公司在宣传中使用“全国领先”“43个出票城市”“与航空公司合作”等表述，但未举证证明全部宣传内容的具体依据；</w:t>
            </w:r>
          </w:p>
          <w:p w14:paraId="6AEC93E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3.黄金假日公司主张携程公司以“预订”名义变相从事非法机票销售，但未能证明其自身因该行为受到直接损害。</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AFD94A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根据原民航37号令这一行政法规的规定，从事民用航空运输销售代理业包括从事民航客运机票销售代理业的企业，即民用航空运输销售代理人，应当取得《航空销售代理业务经营批准证书》。国家民航行政主管部门表示，判断行为人是否属于实际从事机票销售代理业务，应当以机票上的出票人为准，而不能将提供与机票销售相关的预订、送票和收款等业务的经营者也视为民航37号令规定的销售代理人。 　　我国《反不正当竞争法》第二十二条规定，经营者违反本法规定，给他人造成损害的，应当依法承担民事责任。经营者的合法权益受到不正当竞争行为损害的，可以向人民法院提起诉讼。因此，只有因该经营者的行为同时违反反不正当竞争法的规定，并给其他经营者的合法权益造成损害时，其他经营者才有权提起民事诉讼，才涉及该经营者应否承担不正当竞争的民事责任问题。</w:t>
            </w:r>
          </w:p>
        </w:tc>
      </w:tr>
      <w:tr w14:paraId="24A4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2C576CA">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21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99F3A6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(2009)渝五中法民初字第247号【公报案例】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EDC770C">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712198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 交通大学和方特公司的行为是否构成虚假宣传；</w:t>
            </w:r>
          </w:p>
          <w:p w14:paraId="5905134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 交通大学和方特公司的行为是否侵犯了原告的合法权益。</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BEA90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1.原告银翼公司是“2009中国·重庆绿色形象大使活动”唯一授权承办方，拥有该活动的商业赞助招商等权益；</w:t>
            </w:r>
          </w:p>
          <w:p w14:paraId="022380E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2.被告交通大学下属社团与被告方特公司合作，在活动原定报名期内，于校园内开展冠名“方特绿色形象大使”的招募活动，宣传内容与原告承办活动高度相似；</w:t>
            </w:r>
          </w:p>
          <w:p w14:paraId="00D6775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3.二被告无法证明其已获得主办方授权，亦未举证证明宣传内容真实性，其行为导致公众混淆，挤占了原告本应获得的商业机会。</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AA13B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若构成虚假宣传，其行为必须为发生在商业活动中的商业行为。对于经营者而言，承办公益活动或在公益活动中冠名不仅可以使其知名度得以扩大，而且还可以增强其竞争实力和交易机会，从而有利于其更好的从事经营活动。在某种程度上，这种行为具有广告宣传的商业价值，属于商业行为，因此，经营者应当遵循诚实信用原则及商业道德，不得作出引人误解的虚假宣传。如果经营者以承办或冠名方的名义进行与公益活动内容相似的虚假宣传，导致相关公众误解的，其行为构成虚假宣传。</w:t>
            </w:r>
          </w:p>
        </w:tc>
      </w:tr>
      <w:tr w14:paraId="67A8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5087C40">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22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F14B3D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(2022)最高法民再1号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57EBDE0">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86E60D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1.美弗勒公司的行为是否构成虚假宣传的不正当竞争；</w:t>
            </w:r>
          </w:p>
          <w:p w14:paraId="164ADA1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2.如构成，美弗勒公司应如何承担民事责任。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0E4127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1.美弗勒公司将德尔森公司承接的8个工程案例图片中的“德尔森”商标替换为“美弗勒”商标，并编入自身宣传册作为成功案例进行商业宣传；</w:t>
            </w:r>
          </w:p>
          <w:p w14:paraId="6610AFB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2.美弗勒公司在宣传册中声称“已申请多个专利”，但庭审中自认并未实际申请；</w:t>
            </w:r>
          </w:p>
          <w:p w14:paraId="3147C80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3.上述行为导致相关公众对工程承接主体、美弗勒公司技术实力产生误认，扰乱了市场竞争秩序。</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76CFE4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对商品的销售状况、用户评价等做虚假宣传的经营者，构成不正当竞争。经营者将同业竞争者的工程案例图片变造后作为其成功案例使用的，其行为不仅欺骗、误导消费者，亦使其在市场上获得了竞争优势和交易机会，损害同业竞争者的利益，因此，属于不正当竞争行为。</w:t>
            </w:r>
          </w:p>
        </w:tc>
      </w:tr>
      <w:tr w14:paraId="53F5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6BBEC29">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98F3E4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（2012）津高民三终字第16号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C236C4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AA1E72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1.被告使用“泥人张第六代传人”称号，是否构成侵犯原告企业名称权（字号权）的不正当竞争行为；2.该使用行为是否构成虚假宣传。</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41E998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原告张宇为“泥人张”彩塑创始人第六代直系后人，原告“泥人张世家”为相关企业；2.被告陈毅谦师从“泥人张”第五代传人，在宣传中被《收藏界》杂志、凤凰网等称为“泥人张第六代传人”，其本人亦接受此称谓；</w:t>
            </w:r>
          </w:p>
          <w:p w14:paraId="5A3381E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3.相关生效判决确认“泥人张”为知名彩塑艺术品名称，由张氏家族与天津泥人张彩塑工作室共同享有、区别使用。</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B669EE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行为人使用“传人”称谓进行宣传，如并未单独或突出使用他人企业名称，不构成对他人企业名称权的侵害；2.行为人使用“传人”称谓进行宣传，应考虑其使用行为是否具有历史及事实基础，是否有不正当竞争的故意，以及是否会导致相关公众的混淆、误认等因素，综合判断其是否构成虚假宣传的不正当竞争行为。而对于“传人”的界定、是否具备“传人”的身份等问题，审理时应注意分清艺术问题与法律问题，个案中不宜直接加以认定。</w:t>
            </w:r>
          </w:p>
        </w:tc>
      </w:tr>
      <w:tr w14:paraId="5CDA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5EBAE44">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9DEAF9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(2015)民申字第2802号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BCA63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2F398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1.加多宝中国公司和广东加多宝公司使用涉案广告语的行为是否构成虚假宣传行为；</w:t>
            </w:r>
          </w:p>
          <w:p w14:paraId="1C3F63B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2.一、二审法院判决加多宝中国公司和广东加多宝公司赔偿经济损失300万元及承担消除影响的民事责任是否妥当。</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0F1FFA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1.加多宝公司2014年起使用“连续7年荣获‘中国饮料第一罐’”等系列广告语，宣传主体指向“加多宝凉茶”；</w:t>
            </w:r>
          </w:p>
          <w:p w14:paraId="109BEB0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2.其引用的数据来源为中国行业企业信息发布中心，但宣传中未如实标注，仅称“国家权威机构”；</w:t>
            </w:r>
          </w:p>
          <w:p w14:paraId="44B9EAA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3.自2012年5月起，加多宝品牌凉茶方投入市场，至宣传时实际仅销售约三年。</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98C73B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1.广告语可被理解为“加多宝品牌凉茶连续七年第一”，与事实不符，构成虚假宣传；2.引用数据未如实表明出处，片面且有歧义，足以误导公众，构成不正当竞争；</w:t>
            </w:r>
          </w:p>
          <w:p w14:paraId="2BEFF13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3.原审判令赔偿300万元及消除影响并无不当，予以维持。</w:t>
            </w:r>
          </w:p>
        </w:tc>
      </w:tr>
      <w:tr w14:paraId="64FC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CDDF0EF">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ABC419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(2023)鲁06民终5341号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F80228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8F162F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芝罘区香吉食品店冒用“吉食嘉”公司名义并使用虚假荣誉牌匾的行为，是否构成对吉食嘉公司的不正当竞争并应承担赔偿责任。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3241F4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1.被告在原告公司成立前已使用“吉食嘉”字号并注册商标，所制虚假牌匾中“吉食嘉（山东）餐饮管理有限公司”并非指原告；</w:t>
            </w:r>
          </w:p>
          <w:p w14:paraId="2E68F90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2.被告自行摘下牌匾后，市监部门已就其冒用公司名义、发布虚假广告行为作出行政处理；</w:t>
            </w:r>
          </w:p>
          <w:p w14:paraId="6EABCD1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3.原告未能证明其与被告存在直接竞争关系，亦未举证其商业信誉因被告行为受损。</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DB21C2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1.被告行为虽构成虚假宣传，但无侵害原告权益的主观故意；</w:t>
            </w:r>
          </w:p>
          <w:p w14:paraId="66C6763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2.违法行为已受行政处罚且停止，原告再诉请停止行为属重复处理；3.原告未证明其实际损失及与被告行为的因果关系，赔偿请求不予支持。</w:t>
            </w:r>
          </w:p>
        </w:tc>
      </w:tr>
      <w:tr w14:paraId="4A32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E4CE2F3">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F6FE7DD">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(2023)粤06民终4570号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352F30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6BAE05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上海席梦思公司、深圳席梦思公司、迈斯美博公司的行为是否构成虚假宣传和商业诋毁。</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718338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 被上诉人上海席梦思公司为美国“SIMMONS”品牌在华授权经销商，在《声明启事》中称美国商标权人美梦有限公司为“美国席梦思”；2.上诉人美国席梦思公司、席梦思家居公司2018年成立，在宣传中自称“1790年创立于美国”并与“SIMMONS”品牌创始人肖像关联；3.“席梦思”在华因通用化无法注册商标，但非禁用标志。</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37DDAA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1.被上诉人使用“美国席梦思”描述商标来源，不违反公众认知，不构成虚假宣传；</w:t>
            </w:r>
          </w:p>
          <w:p w14:paraId="22DC947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2.被上诉人为澄清品牌关联关系发布声明，具有事实基础与正当性，不构成商业诋毁；</w:t>
            </w:r>
          </w:p>
          <w:p w14:paraId="3BA2374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3.上诉人攀附知名品牌历史进行宣传，诉讼目的不正，有违商业道德。</w:t>
            </w:r>
          </w:p>
        </w:tc>
      </w:tr>
      <w:tr w14:paraId="5E97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B4E1B5C">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8C2B2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(2018)浙0281民初4470号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73F918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EAF53F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余姚宏济堂公司是否存在（2007）甬民四初字第92号民事调解书生效后新发生的侵权行为。</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9C8F98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1.“宏济堂大药房”字号在余姚地区有历史渊源，2007年双方经调解约定被告应规范使用字号、停止突出使用“宏济堂”及“中华老字号”；</w:t>
            </w:r>
          </w:p>
          <w:p w14:paraId="688770B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2.被告在调解后仍在其连锁店单独、突出使用“宏濟堂”字样及相关组合图案，并继续宣传“中华老字号”“百年宏济堂”；</w:t>
            </w:r>
          </w:p>
          <w:p w14:paraId="6077E61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3.被告仅持有地方“老字号”荣誉，无法证明与“中华老字号”及1800年历史记载的关联。</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E8EE73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1.被告突出使用“宏濟堂”构成商标侵权，继续使用“中华老字号”构成虚假宣传，违反调解协议；</w:t>
            </w:r>
          </w:p>
          <w:p w14:paraId="43A1DB1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2.广告语“百年宏济堂”中“宏济堂”未突出使用，不构成商标侵权；</w:t>
            </w:r>
          </w:p>
          <w:p w14:paraId="0831D87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3.被告应就2007年调解后的持续侵权行为承担停止侵权、赔偿损失的责任。</w:t>
            </w:r>
          </w:p>
        </w:tc>
      </w:tr>
      <w:tr w14:paraId="447B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14A1BAC">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8089B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(2018)沪0107民初15944号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6A7B2D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B0916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1.双方是否存在竞争关系；</w:t>
            </w:r>
          </w:p>
          <w:p w14:paraId="774AA94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2.被告使用的“没有中间商赚差价”“无中间商赚差价”“比车商多卖XX元”宣传用语是否构成虚假宣传类型的不正当竞争；</w:t>
            </w:r>
          </w:p>
          <w:p w14:paraId="53B2535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3.若被告的上述行为构成不正当竞争，则其应承担的相关法律责任。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4D05CE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1.被告车好多公司在其运营的瓜子二手车平台使用“比车商多卖XX元”宣传语，声称该数据来源于第三方“车300”平台；</w:t>
            </w:r>
          </w:p>
          <w:p w14:paraId="7F1AFAC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2.原告车王公司主张该宣传构成虚假宣传；</w:t>
            </w:r>
          </w:p>
          <w:p w14:paraId="48C6647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3.车好多公司未能提供该比价数据的计算依据、对比基准及与第三方关系的充分证明。</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63B5A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被告未向相关公众披露其比价的数据来源于车300，以及其与车300网站运营商之间的关系，亦未能提供实际交易的比价数据来源，其宣传用语缺乏事实依据，表述方式亦易引人误解，属于对其服务质量、销售状况等作虚假或者引人误解的商业宣传，欺骗、误导消费者的行为，构成虚假宣传的不正当竞争。</w:t>
            </w:r>
          </w:p>
        </w:tc>
      </w:tr>
      <w:tr w14:paraId="0238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AF90F1E">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29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50E15D0">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(2021)京0108民初68232号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ED5BE8C">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EAB050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被告在宣传中使用的“全面覆盖”“终极强化”“累计客户超300万”“最”等用语，特别是“官方”字样，是否构成虚假宣传或不正当竞争。</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2329CF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1.原被告双方为同行竞争者，均从事建造师考试培训与教材出版业务；</w:t>
            </w:r>
          </w:p>
          <w:p w14:paraId="481F916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2.被告在官网、微信公众号、网店等多平台使用“官方直供”“官方正版考试用书”等宣传语；</w:t>
            </w:r>
          </w:p>
          <w:p w14:paraId="6663807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3.法院认定“官方”表述会使消费者误认为系考试主办方，易产生误导，增强不当竞争优势。</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56BFB4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1.极限用语、数字描述等如未导致消费者误解，不构成虚假宣传；</w:t>
            </w:r>
          </w:p>
          <w:p w14:paraId="261BEDC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2.“官方”字样易使公众误认与考试主办方有关，损害公平竞争秩序，构成虚假宣传；</w:t>
            </w:r>
          </w:p>
          <w:p w14:paraId="5001491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3.被告共同构成不正当竞争，应停止侵权、赔礼道歉并赔偿经济损失10万元。</w:t>
            </w:r>
          </w:p>
        </w:tc>
      </w:tr>
      <w:tr w14:paraId="473F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4589BB5">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30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65EB44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（2021）沪0115民初32005号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1714F1">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E5202E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1.黄某在讲师网课程介绍中使用“本意策划上海地区创始合伙人”称谓是否构成虚假宣传；2.本意品牌策划有限公司与黄某之间是否存在竞争关系及损害事实。</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F5DD64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1.黄某在2017年至2020年与深度合作，参与了本意品牌策划有限公司上海地区早期多项业务的洽谈与执行；</w:t>
            </w:r>
          </w:p>
          <w:p w14:paraId="7CFA79E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2.黄某在2019年于讲师网一项课程介绍中自称“本意策划上海地区创始合伙人”，但未突出显示；</w:t>
            </w:r>
          </w:p>
          <w:p w14:paraId="097EF04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 本意品牌策划有限公司未能举证证明其品牌在行业内具有知名度，亦未证明黄某行为导致公众混淆或对其造成实际商业损失。</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7525E8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判断被诉行为是否构成虚假宣传不正当竞争行为时，应确定原、被告之间是否成立竞争法律关系而并非限于竞争关系。判断竞争法律关系成立的逻辑是首先确定有无虚假宣传行为，其次该行为是否产生欺骗、误导后果，再次原告是否因该行为产生实际损害。如前述条件可依次满足，则竞争法律关系成立，被诉行为构成虚假宣传，行为人应承担相应的民事责任，反之则应驳回原告的诉讼请求。</w:t>
            </w:r>
          </w:p>
        </w:tc>
      </w:tr>
      <w:tr w14:paraId="558D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6DAA008">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31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E69259F">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（2012）江宁开民初字第646号【最高法指导性案例23号】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95FB14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买卖合同纠纷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F527AE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1.消费者明知食品不符合安全标准仍购买，能否主张十倍赔偿；</w:t>
            </w:r>
          </w:p>
          <w:p w14:paraId="76D1363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2.销售者是否“明知”销售不符合食品安全标准的食品。</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FB2F5B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2012年5月1日，孙银山在欧尚超市江宁店购买“玉兔牌”香肠15包，其中价值558.6元的14包香肠已过保质期。孙银山结账后即径直到服务台索赔。</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D69A7E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消费者购买到不符合食品安全标准的食品，要求销售者或者生产者依照食品安全法规定支付价款十倍赔偿金的，不论其购买时是否明知食品不符合安全标准，人民法院都应予支持。欧尚超市江宁店作为食品销售者，应当按照保障食品安全的要求储存食品，及时检查待售食品，清理超过保质期的食品，但其仍然摆放并销售货架上超过保质期的香肠，未履行法定义务，可以认定为销售明知是不符合食品安全标准的食品。</w:t>
            </w:r>
          </w:p>
        </w:tc>
      </w:tr>
      <w:tr w14:paraId="41006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B1F5140">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32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B428EC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（2021）沪03民终86号【最高法发布食品安全惩罚性赔偿典型案例之三、入库案例】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EA71CF">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网络买卖合同纠纷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510585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购买食品发现不符合食品安全标准后再多次追加购买的，惩罚性赔偿金计算基数如何确定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C95800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沙某在网络平台购买“黄芪薏米饼干”30盒，签收后发现不符合食品安全标准（添加黄芪粉）。之后两个多月内，沙某又三次向同一商家大量加购同款饼干，加购数量共计200盒，总重量高达18.4公斤。四次总计付款4176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AA3995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1.沙某首次购买30盒“黄芪薏米饼干”未超出合理生活消费需要，对其就该部分饼干提出的惩罚性赔偿请求应予支持；</w:t>
            </w:r>
          </w:p>
          <w:p w14:paraId="7952E8D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沙某在收到首单饼干并确认不符合食品安全标准后又在两个多月时间内多次向同一商家大量加购同款饼干，综合考量案涉饼干的保质期、普通消费者通常的生活消费习惯等因素，沙某的加购行为超出正常的生活消费所需，对其就加购饼干提出的惩罚性赔偿请求不应支持；</w:t>
            </w:r>
          </w:p>
          <w:p w14:paraId="1C08030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3.在“生活消费需要”范围内支持“购买者”关于支付价款十倍惩罚性赔偿金的诉讼请求，“购买者”仅对所购食品未超出其个人和家庭等合理生活消费需要的部分，有权主张价款十倍惩罚性赔偿金</w:t>
            </w:r>
          </w:p>
        </w:tc>
      </w:tr>
      <w:tr w14:paraId="793E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80AE4DA">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33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8DC026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刘某诉某鹿业公司买卖合同纠纷案【最高人民法院发布食品安全惩罚性赔偿典型案例之二】</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23ABF1">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买卖合同纠纷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395F8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1.销售未标明生产日期等基本信息的预包装食品，经营者是否应承担惩罚性赔偿责任；</w:t>
            </w:r>
          </w:p>
          <w:p w14:paraId="76C6828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2.知假买假者是否有权主张惩罚性赔偿。</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0D89E1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2020年12月，刘某在某鹿业公司购买鹿胎膏和鹿鞭膏，支付3680元；次年1月再次购买，支付7000元。上述产品标签上标注了主要成分、储存方式、保质期、净含量，但未标注生产厂址、厂名、生产日期、生产者的名称、地址、联系方式、产品标准代号等信息。</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835567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案涉鹿胎膏和鹿鞭膏属于预包装食品，在包装标签上未标明生产日期、生产者的名称、地址、联系方式、产品标准代号，不符合《食品安全法》第六十七条规定和《预包装食品标签通则》的规定，属于标签缺乏基本信息，而非标签瑕疵；</w:t>
            </w:r>
          </w:p>
          <w:p w14:paraId="19DD806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根据《最高人民法院关于审理食品药品纠纷案件适用法律若干问题的规定》第三条，因食品、药品质量问题发生纠纷，生产者、销售者以购买者明知食品、药品存在质量问题而仍然购买为由进行抗辩的，人民法院不予支持；3.该条司法解释的适用应当与《消费者权益保护法》第二条和《食品安全法》第一百四十八条规定相结合，在“生活消费需要”范围内支持“购买者”提出的支付惩罚性赔偿金的诉讼请求；</w:t>
            </w:r>
          </w:p>
          <w:p w14:paraId="4BD25F2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4.本案刘某购买鹿胎膏和鹿鞭膏未超出生活消费需要，有权请求生产经营者承担惩罚性赔偿责任。</w:t>
            </w:r>
          </w:p>
        </w:tc>
      </w:tr>
      <w:tr w14:paraId="1106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00F09B4">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34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C5EBB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(2016)沪01民终10490号【最高人民法院发布全国法院系统2017年度优秀案例】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9143CD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买卖合同纠纷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304980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购买食品时故意分多次小额支付并主张每次结算赔偿一千元的，惩罚性赔偿金如何计算。</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1508AC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张某在上海某生鲜食品有限公司购买46枚散装咸鸭蛋，故意分46次支付，每次支付金额均不足10元，要求按照每次结算赔偿1000元计算共计赔偿46000元。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E01578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张某购买46枚咸鸭蛋故意分46次支付，并以每枚最低赔偿1000元为标准计算惩罚性赔偿金共计46000元，明显与《食品安全法》惩罚性赔偿制度精神不符，亦有悖于诚实信用原则，不应予以支持；2.张某购买46枚咸鸭蛋所支付的总金额为101.20元，未超出生活消费需要，应当以总金额为基数，计算惩罚性赔偿金；</w:t>
            </w:r>
          </w:p>
          <w:p w14:paraId="747D02E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3.人民法院应当在合理生活消费需要范围内，将购买人分次支付价款的总额作为计算惩罚性赔偿金的基数，判决生产经营者支付价款十倍惩罚性赔偿金。</w:t>
            </w:r>
          </w:p>
        </w:tc>
      </w:tr>
      <w:tr w14:paraId="44E9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5A15728">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35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0D34F0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lang w:eastAsia="zh-CN"/>
              </w:rPr>
            </w:pPr>
            <w:r>
              <w:rPr>
                <w:rFonts w:hint="eastAsia" w:ascii="方正仿宋_GB2312" w:hAnsi="方正仿宋_GB2312" w:eastAsia="方正仿宋_GB2312" w:cs="方正仿宋_GB2312"/>
                <w:b/>
                <w:bCs/>
                <w:lang w:eastAsia="zh-CN"/>
              </w:rPr>
              <w:t>（2023）兵07民终389号【最高人民法院发布涉产品质量典型案例之二】</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FAA8F0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5066E6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销售有效成分含量与包装标识严重不符的化肥是否构成消费欺诈，是否应承担惩罚性赔偿责任。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D7324E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2022年3月，敬某种植打瓜需购买化肥，在某生物科技有限公司处购买钾肥99吨，支付货款435600元。2023年3月，敬某认为2022年度打瓜减产与使用该化肥有关，委托检测。检验结论为：水溶性氧化钾的质量分数为27%，硫的质量分数为12%，氯离子的质量分数为13.1%，不符合国家标准《农业用硫酸钾》（GB/T20406-2017）的规定，也与包装袋上载明的硫酸钾≥51%，硫≥17%，氯离子≤1.5%的成分标识严重不符。</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BBDD50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某生物科技有限公司作为化肥销售者，销售的化肥有效成分含量等质量性能指标与外包装标识严重不符，误导消费者购买化肥，其行为已经构成欺诈。根据《消费者权益保护法》第五十五条第一款、第六十二条规定，判决某生物科技有限公司退还敬某化肥款并支付货款三倍的赔偿金</w:t>
            </w:r>
          </w:p>
        </w:tc>
      </w:tr>
      <w:tr w14:paraId="3ED3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460C7AE">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36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023DF04">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（2021）渝0108民初37428号【入库案例】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0C0ACA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FEF1FF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销售假冒注册商标食品的经营者是否应承担惩罚性赔偿责任。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0FAA81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郭某在某经营部购买某品牌白酒，支付货款22097元。后经鉴定，该白酒系假冒注册商标的产品。</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6FE190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1.假冒伪劣食品会危害人民群众身体健康、生命安全。经营者销售假冒注册商标的食品，不仅侵害了企业的商标权，扰乱市场秩序，还侵害了消费者合法权益；</w:t>
            </w:r>
          </w:p>
          <w:p w14:paraId="10CA290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2.消费者有权依据《食品安全法》第一百四十八条第二款规定，请求经营者支付价款十倍的惩罚性赔偿金；</w:t>
            </w:r>
          </w:p>
          <w:p w14:paraId="379ACDF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3.判决某经营部退还郭某货款22097元并支付赔偿金220970元</w:t>
            </w:r>
          </w:p>
        </w:tc>
      </w:tr>
      <w:tr w14:paraId="74DC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186FA9C">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37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A3C9C5B">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（2024）渝05民终5663号【入库案例】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CDCD8DF">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DB890C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1.曾某是否为明知所购买食品不符合食品安全标准仍然购买；</w:t>
            </w:r>
          </w:p>
          <w:p w14:paraId="3A35B76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2.某农副产品加工厂是否应当退还货款并以全部货款为基数支付十倍惩罚性赔偿金</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0C2B73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2023年10月，曾某在陈某友经营的网店购买鲜竹笋，支付货款129.9元。经检测，二氧化硫残留量9.94g/kg，不符合食品安全标准。曾某还于2023年10月21日购买了100件（800斤）干竹笋（已另案起诉），2023年12月22日购买20箱干竹笋（已调解），均分别送检。在中国裁判文书网上检索到以曾某作为原告的类似产品责任纠纷的案件有68件，其中在陕西地区的法院判决中认定曾某为职业打假人</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FB561D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曾某在短时间内就同类产品重复购买、多次检测，购买数量远超日常生活所需，虽然曾某陈述其购买案涉产品以及另案的干竹笋系为了在春节期间给自己的父亲举办80岁寿宴，但不仅没有举示证据，而且明显与日常生活经验相悖。综合考虑曾某的行为与目的，再结合曾某之前大量的同类诉讼案件，应认定为明知所购买食品不符合食品安全标准仍然购买并请求惩罚性赔偿金；</w:t>
            </w:r>
          </w:p>
          <w:p w14:paraId="7729B3B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2.购买者明知食品不符合食品安全标准仍然超出生活消费需要大量购买并请求经营者支付惩罚性赔偿金的行为与《消费者权益保护法》的立法本意不符；</w:t>
            </w:r>
          </w:p>
          <w:p w14:paraId="6583C21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3.人民法院应在合理生活消费需要范围内支持其关于支付惩罚性赔偿金的诉讼请求，在认定购买者合理生活消费需要的食品数量时，应当综合考量食品保质期、普通消费者通常消费习惯等因素；</w:t>
            </w:r>
          </w:p>
          <w:p w14:paraId="0991A8E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4.判决支持20斤鲜竹笋售价的十倍惩罚性赔偿金请求。</w:t>
            </w:r>
          </w:p>
        </w:tc>
      </w:tr>
      <w:tr w14:paraId="7DF9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6D71846">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38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3EC8F87">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（2018）闽01民终4450号【福建法院2019年公布2018年度十大典型案件之案例十】</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15FD13F">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网络购物合同纠纷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CCC622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1.职业打假人购买不符合食品安全标准的食品是否有权主张十倍赔偿；</w:t>
            </w:r>
          </w:p>
          <w:p w14:paraId="54DDD03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2.标签瑕疵与食品安全的关系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DB5B0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黄海禹通过淘宝网向临沂商城众鑫干果商行购买进口预包装芒果干10袋，支付价款650元。该产品预包装的标签上没有以中文载明食品的原产地以及境内代理商或进口商的名称、地址、联系方式等，确不符合《食品安全法》关于预包装食品标签标明事项的有关规定</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66F7B8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消费者购买到不符合食品安全标准的食品，要求销售者或者生产者依照《食品安全法》规定支付价款十倍赔偿金的，不论其购买时是否明知食品不符合安全标准，人民法院都应予支持，该条款规定的惩罚性赔偿责任不属于特殊的产品责任，不应以损害结果为责任承担的构成要件；</w:t>
            </w:r>
          </w:p>
          <w:p w14:paraId="5CC7CBD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2.但“职业打假人”购买不符合食品安全标准的食品并通过诉讼手段以获取相对原商品价值的大额赔偿，与《食品安全法》保护消费者的立法本意不符，不属于法律保护的对象；</w:t>
            </w:r>
          </w:p>
          <w:p w14:paraId="3A2DF5A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3.黄海禹虽向众鑫干果行购买了不符合食品安全标准的案涉食品，但其并非基于生活消费购买食品的消费者，其无权依据《食品安全法》第一百四十八条第二款规定的惩罚性民事责任主张十倍价款赔偿</w:t>
            </w:r>
          </w:p>
        </w:tc>
      </w:tr>
      <w:tr w14:paraId="5BD9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A20D13D">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39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F75658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(2024)鲁10民终7号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C9A941">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产品销售者责任纠纷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43F4BB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1.董某甲是否为消费者；</w:t>
            </w:r>
          </w:p>
          <w:p w14:paraId="103CD2A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2.标注虚假生产日期的普洱茶是否属于标签瑕疵；</w:t>
            </w:r>
          </w:p>
          <w:p w14:paraId="4E24E76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3.是否应支持惩罚性赔偿。</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CA3FEA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董某甲在环翠区某某茶庄购买普洱茶茶饼两个，支付货款1400元。该产品标注的生产日期早于其所标注的执行标准的实施日期，该日期标识系虚假标注。另查，董某甲近期在威海某某处购买商品后向相关市场监督管理局进行了投诉。</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CB9697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根据《消费者权益保护法》第二条的规定，消费者是因生活消费需要购买、使用商品或接受服务的市场主体。董某甲未将购买的普洱茶再次流入市场销售，且其购买普洱茶数量为两饼，未明显超出一般消费者的购买数量；2.根据《最高人民法院关于审理食品药品纠纷案件适用法律若干问题的规定》第三条规定，在食品消费领域，生产者、销售者不应以知假买假人牟利为由而否定其在食品、药品领域中的消费者身份，购买者的购买动机并非消费者身份的限制性条件；</w:t>
            </w:r>
          </w:p>
          <w:p w14:paraId="6680E2E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3.该茶饼标识的国家标准亦或虚假标注，某某茶庄的涉案销售行为属于销售虚假标注的违法行为，而非《食品安全法》第一百二十五条第二款规定的标签、说明书瑕疵；</w:t>
            </w:r>
          </w:p>
          <w:p w14:paraId="65A54EC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职业打假人还存在购买食品、药品在购买数量、频次、请求等方面的合理性和适当性问题，人民法院应一并审查。本案中,董某甲知假买假存在牟利性打假可能，但其消费符合一般自然人的消费习惯，其请求三倍赔偿亦在合理范围之内，其在食品领域的维权行为客观上有利于促进本地区食品安全和充分有序的市场竞争，其诉请赔偿应予支持。</w:t>
            </w:r>
          </w:p>
        </w:tc>
      </w:tr>
      <w:tr w14:paraId="486E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F620F9B">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40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9B7FBF5">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(2017)粤19民终2862号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D24E16">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E36F1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1.花胶、石斛等农产品是否属于食用农产品，是否适用《食品安全法》；</w:t>
            </w:r>
          </w:p>
          <w:p w14:paraId="70ADF92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2.标签瑕疵是否影响食品安全。</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5717EC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唐旺兵在康荣食品公司购买花胶、石斛等农产品，认为产品标签未标注生产日期、保质期等信息，不符合食品安全标准。</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93BC57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1.花胶、石斛属于食用农产品，不适用《食品安全法》关于预包装食品标签的规定；2.唐旺兵并不能举证证明康荣食品公司售卖的货物不符合安全标准并且给其造成损失；</w:t>
            </w:r>
          </w:p>
          <w:p w14:paraId="6AF3650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食品安全法》第一百四十八条第二款规定的十倍赔偿金，其立法本意针对的是会对人体健康造成实质性损害的情形，而本案则应适用《食品安全法》第一百四十八条的但书条款（标签瑕疵不影响食品安全且不会对消费者造成误导的，不适用惩罚性赔偿）</w:t>
            </w:r>
          </w:p>
        </w:tc>
      </w:tr>
      <w:tr w14:paraId="078D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44D2717">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41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99B8F4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（2017）鄂09民终884号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C7E1AA9">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49E9CB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1.“虫屎茶”是否属于新食品原料；</w:t>
            </w:r>
          </w:p>
          <w:p w14:paraId="7146DC2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 利用“虫屎茶”生产的食品是否不符合食品安全标准。</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6AA511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杨德学购买黑龙珠茶11瓶，单价为88元，共计支付货款968元。杨德学以该食品“利用未经批准的新食品原料‘虫屎茶'生产食品，违反了《食品安全法》的相关规定”为由，主张十倍赔偿。</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B2D508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1.龙胜各族自治县食品药品监督管理局复函认为“虫茶有传统食用习惯，天然虫屎茶不属于新食品原料”，并对杨德学的举报奖励请求不予支持；</w:t>
            </w:r>
          </w:p>
          <w:p w14:paraId="63B00DB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2.杨德学主张涉案产品“利用未经批准的新食品原料‘虫屎茶'生产食品，违反了《食品安全法》的相关规定，属于生产和经营不符合食品安全标准的不合格食品”的理由经查不能成立；</w:t>
            </w:r>
          </w:p>
          <w:p w14:paraId="0935800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3.至于杨德学是否属于消费者、是否知假买假，并不影响其依法索赔的权利。</w:t>
            </w:r>
          </w:p>
        </w:tc>
      </w:tr>
      <w:tr w14:paraId="5846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9AFDCEA">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42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FC159C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（2017）豫08民终351号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33A67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产品销售者责任纠纷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EACAF0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橄榄油含量标注方式是否构成标签瑕疵，是否影响食品安全。</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BE0AEC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王新建在大张惠利佳公司购买食用调和油，认为产品标签未标注橄榄油含量，不符合《食品安全法》关于标签应当标明配料含量的规定。</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0A0FFC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1.涉案产品从标签到品质均为合格产品，不应适用《食品安全法》第一百四十八条的规定；</w:t>
            </w:r>
          </w:p>
          <w:p w14:paraId="50E7C94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2.涉案产品符合本条第二款的但书规定，并未在标签上特别强调芥花籽或橄榄油等配料也没有任何宣传特别价值和特性的词语，不构成标签上的特别强调；</w:t>
            </w:r>
          </w:p>
          <w:p w14:paraId="788731E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3.对橄榄油的标注方式是法定的。</w:t>
            </w:r>
          </w:p>
        </w:tc>
      </w:tr>
      <w:tr w14:paraId="560D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64288CD">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43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49226DA">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（2015）三民终字第00168号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9C4AFEE">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买卖合同纠纷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226573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食品仅存在标识违法行为，是否属于不符合食品安全标准的食品，是否应支持十倍赔偿。</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38B4DC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范俊刚在千禧公司购买远村公司生产的苹果醋饮品，认为该产品未标注“含糖量”不符合《预包装食品标签通则》要求。灵宝市质量技术监督局认定该饮品仅存在食品标识违法行为，其产品不属于《食品召回管理规定》的召回范围。</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C7AB01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食品安全法》第九十九条规定：“食品安全，指食品无毒、无害，符合应当有的营养要求，对人体健康不造成任何急性、亚急性或者慢性危害.”范俊刚购买的涉案饮品仅存在食品标识违法行为，饮品本身不属于《食品安全法》第九十九条规定的不安全食品；</w:t>
            </w:r>
          </w:p>
          <w:p w14:paraId="2709B0E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 范俊刚上诉要求依据《食品安全法》的规定主张退还货款并支付十倍赔偿金的理由，因为没有事实和法律依据而不能成立。</w:t>
            </w:r>
          </w:p>
        </w:tc>
      </w:tr>
      <w:tr w14:paraId="7335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F89E1A1">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44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4AA1213">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（2017）豫03民终6659号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9594222">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0FC61A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食用调和油未标注橄榄油含量是否属于标签瑕疵，是否应适用惩罚性赔偿责任。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293297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张某在洛阳王府井百货公司购买“芥花籽橄榄油（食用调和油）”若干瓶，支付货款27950元。该产品配料处注明“一级芥花籽油、特级初榨橄榄油”，但未注明橄榄油含量。张某以未标注橄榄油含量违反法律规定为由，主张退还货款并支付10倍赔偿款27.95万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603C8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1.该商品标签标注了产品名称、配料、执行标准、生产许可证编号等基本信息，符合《食品安全法》关于标签标识的基本要求；</w:t>
            </w:r>
          </w:p>
          <w:p w14:paraId="080A1FB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2.未标注橄榄油含量并不足以对消费者造成食用安全方面的误导，属于标签瑕疵范畴；</w:t>
            </w:r>
          </w:p>
          <w:p w14:paraId="276E3A5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3.根据《食品安全法》第一百四十八条第二款的但书规定，食品标签、说明书存在瑕疵，但不影响食品安全且不会对消费者造成误导的，不适用惩罚性赔偿；</w:t>
            </w:r>
          </w:p>
          <w:p w14:paraId="0E4B240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4.驳回张某要求10倍赔偿的诉讼请求。</w:t>
            </w:r>
          </w:p>
        </w:tc>
      </w:tr>
      <w:tr w14:paraId="6F35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7DF0A0DB">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45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F3AF8C8">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（2016）粤0106民初15266号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5D39874">
            <w:pPr>
              <w:keepNext w:val="0"/>
              <w:keepLines w:val="0"/>
              <w:widowControl/>
              <w:suppressLineNumbers w:val="0"/>
              <w:spacing w:before="0" w:beforeAutospacing="0" w:after="0" w:afterAutospacing="0" w:line="165" w:lineRule="atLeast"/>
              <w:ind w:left="0" w:leftChars="0" w:right="0" w:rightChars="0"/>
              <w:jc w:val="center"/>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产品责任纠纷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75FBFE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销售无中文标签的进口酒类是否应承担惩罚性赔偿责任。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6A288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胡小岗在珺彩食品店、佰果鲜食品店购买进口酒类产品，产品预包装上均未标示中文生产厂家名称、地址、联系方式、生产日期及批号等信息。胡小岗因喝此酒造成不适就医，医院诊断为急性酒精中毒。</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FFED41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1.涉案产品预包装上均未标示中文生产厂家名称、地址、联系方式、生产日期及批号等信息，不符合《食品安全法》第九十二条、第九十七条的规定；</w:t>
            </w:r>
          </w:p>
          <w:p w14:paraId="64E3F3A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2.珺彩食品店、佰果鲜食品店、何国连带赔偿161000元（十倍赔偿）有理，予以支持；</w:t>
            </w:r>
          </w:p>
          <w:p w14:paraId="0CB221D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3.胡小岗因此产生的医疗费255.5元，予以支持。</w:t>
            </w:r>
          </w:p>
        </w:tc>
      </w:tr>
      <w:tr w14:paraId="73FB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057D761">
            <w:pPr>
              <w:jc w:val="cente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kern w:val="2"/>
                <w:sz w:val="21"/>
                <w:szCs w:val="24"/>
                <w:lang w:val="en-US" w:eastAsia="zh-CN" w:bidi="ar-SA"/>
              </w:rPr>
              <w:t>46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F3429C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b/>
                <w:bCs/>
                <w:i w:val="0"/>
                <w:iCs w:val="0"/>
                <w:caps w:val="0"/>
                <w:spacing w:val="4"/>
                <w:kern w:val="0"/>
                <w:sz w:val="21"/>
                <w:szCs w:val="21"/>
                <w:vertAlign w:val="baseline"/>
                <w:lang w:val="en-US" w:eastAsia="zh-CN" w:bidi="ar"/>
              </w:rPr>
              <w:t>（2009）鲁民三终字第34号【最高法指导性案例46号、公报案例】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60EAED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459424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“鲁锦”是否构成山东民间手工棉纺织品的通用名称；被告使用“鲁锦”字样是否构成侵权。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94A971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原告系“鲁锦”文字商标权利人；被告在生产的棉纺织品上使用“鲁锦”字样；“鲁锦”系山东地区民间手工棉纺织品的通称，有上千年历史，1986年起被媒体广泛报道，2006年被列入国家级非物质文化遗产名录。</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21735A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判断具有地域性特点的商品通用名称，应当注意从以下方面综合分析：（1）该名称在某一地区或领域约定俗成，长期普遍使用并为相关公众认可；（2）该名称所指代的商品生产工艺经某一地区或领域群众长期共同劳动实践而形成；（3）该名称所指代的商品生产原料在某一地区或领域普遍生产。</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2.“鲁锦”是山东地区特别是鲁西南地区民间纯棉手工纺织品的通用名称。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3.对于具有地域性特点的商品通用名称，判断其广泛性应以特定产区及相关公众为标准，而不应以全国为标准。</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4.注册商标中含有的本商品的通用名称，注册商标专用权人无权禁止他人正当使用。</w:t>
            </w:r>
          </w:p>
        </w:tc>
      </w:tr>
      <w:tr w14:paraId="7D8A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98A2DE1">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kern w:val="2"/>
                <w:sz w:val="21"/>
                <w:szCs w:val="24"/>
                <w:lang w:val="en-US" w:eastAsia="zh-CN" w:bidi="ar-SA"/>
              </w:rPr>
              <w:t>47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53991A8">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（2016）最高法民再374号【最高法发布2017年中国法院10大知识产权案件之三、公报案例、入库案例】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AFD7ED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AC2588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“稻花香”是否属于大米品种的通用名称；被告使用“稻花香”标识是否构成侵权。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B2497E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原告系“稻花香DAOHUAXIANG”商标权利人；被告生产销售“乔家大院稻花香米”，包装突出标注“稻花香DAOHUAXIANG”；“稻花香2号”系黑龙江省审定推广的水稻品种，原代号为“稻花香2号”。</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CD6AA6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1.品种审定办法规定的通用名称与商标法意义上的通用名称含义并不完全相同，不能仅以审定公告的名称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为依据，认定该名称属于商标法意义上的通用名称。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2.约定俗成的通用名称一般以全国范围内相关公众的通常认识为判断标准。</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3.对于由于历史传统、风土人情、地理环境等原因形成的相关市场固定的商品，在该相关市场内通用的称谓，可以认定为通用名称。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4.被诉侵权产品销售范围并不局限于五常地区，而是销往全国各地，应以全国范围内相关公众的通常认识作为判断标准。</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5.五常公司关于“稻花香”为约定俗成的通用名称、被诉侵权产品标注方式属于正当使用的主张不能成立。</w:t>
            </w:r>
          </w:p>
        </w:tc>
      </w:tr>
      <w:tr w14:paraId="403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ADAE203">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1"/>
                <w:szCs w:val="24"/>
                <w:lang w:val="en-US" w:eastAsia="zh-CN" w:bidi="ar-SA"/>
              </w:rPr>
              <w:t>48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597629">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（2021）最高法民申3902号【入库案例】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C627C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商标权权属、侵权纠纷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E04B1E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在苹果包装上突出使用“阿克苏”字样是否构成对“阿克苏苹果”地理标志证明商标的侵权；正当使用抗辩是否成立。</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BBAD8C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原告系“阿克苏苹果”证明商标权利人；被告销售苹果外包装突出使用“APPLE 新疆阿克苏”字样，在包装纸上使用“冰糖心 新疆阿克苏”字样，未提供充分产地证明。</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E36E27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1.对地名的正当使用应当以产地相符为必要条件，若被告无法提供充分证据证明被诉侵权商品来源于涉案地理标志指向的地区且使用方式符合商业惯例的，不属于对地名的正当使用。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2.在同种商品上使用与地理标志证明商标相似的商标，足以使相关公众误认为被诉侵权商品的原产地为该地理标志指向的地区且具有该产区特有的品质，构成侵犯该地理标志证明商标的商标专用权。</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3.远某商行应对其销售的产品来自证明商标所标识的特定产地承担举证责任，本案中远某商行未提供充分证据证明被诉侵权商品来源于新疆阿克苏地区，其主张正当使用的理由不能成立。</w:t>
            </w:r>
          </w:p>
        </w:tc>
      </w:tr>
      <w:tr w14:paraId="7466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B78CAE5">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1"/>
                <w:szCs w:val="24"/>
                <w:lang w:val="en-US" w:eastAsia="zh-CN" w:bidi="ar-SA"/>
              </w:rPr>
              <w:t>49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3080105">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（2021）最高法民申1695号【入库案例】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F2F6E9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A97629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被告销售标注“玉屏箫笛”字样的箫笛是否构成侵权；被告是否完成合法来源举证。</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43B1D4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原告系“玉屏箫笛”证明商标权利人；被告在电商平台销售刻有“玉屏箫笛”字样的箫笛套装，未获得原告许可，未能证明商品符合产地、工艺要求。</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3D4EA3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未经地理标志证明商标权利人许可，擅自在相同或类似商品上使用与地理标志证明商标相同或近似的商标，且未提交证据证明该商品来源于地理标志证明商标所标示的地区，符合相关产地、制作工艺等相应特点，容易导致相关公众对该商品来源及其产地、品质等产生混淆误认的，构成对该地理标志证明商标权的侵害。</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2.地理标志证明商标具有标识商品来源地的功能，使用地理标志证明商标的主体，其商品应当来源于该标志所标示的地区。</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3.黔南州某公司未提交证据证明其销售的商品符合产地、制作工艺等相应特点，容易导致相关公众对商品来源以及产地、品质等产生混淆误认，构成商标侵权。</w:t>
            </w:r>
          </w:p>
        </w:tc>
      </w:tr>
      <w:tr w14:paraId="178A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4C9C22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9E8ED9">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（2024）最高法民再21号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37455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EC0BDD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原料产自五常但未达到特定品质标准的大米，使用“五常大米”标识是否构成侵权。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622EA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原告系“五常大米”证明商标权利人；被告委托五常农户收购大米加工销售，产品标注“五常大米”字样，但执行普通大米标准（GB/T1354），未达到五常大米特定品质标准（GB/T19266）。</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8A547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判断被诉侵权行为是否构成侵害地理标志证明商标权需要考虑以下因素：一是被诉侵权商品是否具备使用地理标志商标的条件，即商品来源于某特定产地；二是被诉侵权商品是否具有地理标志产品的特定品质；三是被诉侵权行为是否容易导致相关公众对商品的来源及特定品质产生混淆误认。</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2.在案证据不足以证明被诉侵权大米具备五常大米地理标志产品的特定品质。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3.某1公司、某2公司未经五常市某某协会允许使用涉案证明商标，其被诉侵权行为构成侵害五常市某某协会涉案证明商标的商标权。</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4.某1公司在“粒粒珍硒新米”商品外包装上标注“原粮产地：黑龙江五常市”，该行为属于对该商品原粮产地的标注，不属于商标使用行为，不构成侵害涉案证明商标的商标权。</w:t>
            </w:r>
          </w:p>
        </w:tc>
      </w:tr>
      <w:tr w14:paraId="2969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AA77B75">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8857BE6">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（2019）黑民终610号【入库案例】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F7DA8F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E0E49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“库尔勒香梨”是否属于通用名称；被告销售标注“库尔勒香梨”字样的香梨是否构成侵权。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E3B43A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原告系“库尔勒香梨”证明商标权利人；被告销售的香梨包装箱显著位置标注“库尔勒香梨”，未标注生产单位、产地等信息，无法证明香梨来源于库尔勒特定产区。</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4503FF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1.证明商标具有指示商品原产地的功能，即表明因原产地的气候、自然条件、工艺、制作方法等因素决定的商品具有特定的品质。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2.经营者未经商标注册人的许可，在同一种商品上使用原产地证明商标文字，但不能证明该商品来自该特定产地的，构成侵害证明商标专用权的行为。</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3.某超市不能证明其销售的香梨来源于《库尔勒香梨证明商标使用管理规则》规定的地域范围及品质标准，构成商标侵权。</w:t>
            </w:r>
          </w:p>
        </w:tc>
      </w:tr>
      <w:tr w14:paraId="1241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BA26865">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3A17E7E">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（2017）京行终3288号【入库案例】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E5E13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商标权无效行政纠纷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5A92B5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“祁门红茶”地理标志证明商标的地域范围确定；以其他不正当手段取得注册的认定。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9897BB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原告将“祁门红茶”产区限定于祁门县，但历史上“祁门红茶”产区还包括贵池、东至、石台、黟县等地；原告明知争议存在，未全面准确报告。</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1398E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1.地理标志证明商标所确定的使用该商标的商品的产地，应当与该地理标志的实际地域范围相一致。</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2.提交虚假文件或者以其他方式弄虚作假而取得商标注册的，构成“以欺骗手段”取得注册。</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3.未尽到积极作为义务，未向商标注册主管机关全面准确报告客观情况而取得商标注册的，构成“以其他不正当手段取得注册”。</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4.祁门某协会明知存在“祁门红茶”产区认识上的分歧，未向商标注册主管机关全面准确报告，构成“以其他不正当手段取得注册”。</w:t>
            </w:r>
          </w:p>
        </w:tc>
      </w:tr>
      <w:tr w14:paraId="1DFE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C7A603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CB65D4A">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（2022）沪73行终1号【入库案例、2022年上海知识产权保护十大典型案例之九】</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155AB6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行政处罚及行政复议案</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AB8522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进口商不能证明商品来源于地理标志证明商标要求的地域范围，使用“龙井茶”标识是否构成侵权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DBAB6A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原告进口茶叶在通关过程中委托贴附“盛玺龙井茶”“龙井茶”中文标签，商品非产自龙井茶保护区；无法证明商品来源于证明商标要求的地域范围</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2FA5C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1.地理标志证明商标具有标识商品原产地的功能，以表明因原产地的自然条件、工艺、制作方法等因素决定的商品具有特定品质。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2.不能证明商品来源于地理标志证明商标要求的地域范围，容易使相关公众对商品的原产地等特定品质产生误认的，构成商标侵权。</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3.进口商对进口商品的产地负有举证责任，不能举证证明产地的，承担不利后果。</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4.某餐饮管理公司不能证明商品来源于地理标志证明商标要求的地域范围，其使用“龙井茶”标识的行为构成商标侵权。</w:t>
            </w:r>
          </w:p>
        </w:tc>
      </w:tr>
      <w:tr w14:paraId="5E5B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1C2D236">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62E2E87">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（2013）民申字第1642号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3E1D69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确认不侵害商标权、侵害商标权纠纷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2C5CF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“沁州黄”是否属于小米商品的通用名称；被告使用“沁州黄”标识是否构成正当使用。</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3F6A22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原告系“沁州”商标权利人；被告在小米商品上使用“沁州黄”文字；“沁州黄”系经国家标准认定的地理标志产品，山西省质量技术监督局核准被告使用地理标志保护产品专用标志。</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21A1B9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1.“沁州黄”是一种谷物品种的通用名称。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2.原告的“沁州”注册商标虽然具有较高知名度，但是无权禁止其他企业将“沁州黄”文字使用在以“沁州黄”谷子加工而成的小米商品上，以表明其小米的品种来源。</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3.被告使用“沁州黄”文字以表明小米品种来源的行为，属于正当使用。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4.对于具有地域性特点的商品名称，应当综合考虑其历史渊源、长期使用情况、相关公众的通常认识等因素判断其是否构成通用名称。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5.檀山皇发展公司、檀山皇基地公司使用“沁州黄”文字属于正当使用，不侵犯“沁州”注册商标专用权。</w:t>
            </w:r>
          </w:p>
        </w:tc>
      </w:tr>
      <w:tr w14:paraId="2AA2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CDF8CCE">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B4AAFFE">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（2023）粤民再320号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A5C5F9D">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9FB2C0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原告未购买实物仅公证网页信息，举证责任如何分配；被告使用“舟山带鱼”字样是否构成侵权。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C54F7D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原告系“舟山带鱼”证明商标权利人；被告在拼多多平台销售带鱼，商品链接使用“舟山野生带鱼”“舟山带鱼”字样，但标注产地为山东日照；原告仅公证网页未购买实物，向客服询问产地获确认。</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760FD7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1.若原告已初步举证被控商品信息与产地不符，则举证责任转移至被告，由其证明商品真实产地及其使用地理标志的正当性。</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2.未公证购买侵权商品实物，并不必然构成举证不利。</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3.地理标志侵权案件审理核心在于被控侵权商品是否真实来源于地理标志所显示的地域范围。</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4.舟山某协会的举证已表明深圳品某酷公司销售的带鱼商品并非产自舟山海域的待证事实具有高度可能性，舟山某协会已对案涉侵权事实予以初步举证，其无须通过购买带鱼实物以证明发货地并非舟山。</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5.对举证责任的分配应结合案件具体情况综合判断，不能因舟山某协会在其他案件中购买商品实物作为证据而在本案中并未购买实物就推定舟山某协会存在举证懈怠。</w:t>
            </w:r>
          </w:p>
        </w:tc>
      </w:tr>
      <w:tr w14:paraId="7048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BA8DFB8">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6FE815F">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（2010）阜民三初字第00022号【入库案例】</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FD41A4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785FFF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被告使用“镇江陈醋”标识是否构成对地理标志集体商标的侵权；公开赔礼道歉的适用条件。</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4E29B4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原告系“镇江陈醋”集体商标权利人；被告生产的醋类商品上使用了“镇江陈醋”字样，已被工商行政处罚。</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4EAAC03">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1.未经允许在同种类商品上的使用他人注册商标的行为损害了注册商标权人的合法利益，构成侵犯商标专用权。</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2.公开赔礼道歉的民事责任应根据权利人的商标知名程度、被诉侵权人的主观故意及侵权影响范围等在合理限度内采用。</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3.某食品有限公司于判决生效后立即停止对“镇江陈醋”注册商标的侵权行为。</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4.某食品有限公司于判决生效后十日内支付某醋业协会赔偿金40000元。</w:t>
            </w:r>
          </w:p>
        </w:tc>
      </w:tr>
      <w:tr w14:paraId="7285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183A98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4023389">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（2021）苏知终6号【2023年度苏州法院知识产权司法保护十大典型案例之五】</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B3DA16">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C43A8C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跨类使用地理标志是否构成不正当竞争；地理标志反淡化保护。</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B2C895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原告系“干邑(Cognac)”地理标志权利人，“干邑”是我国首个获得专门保护的外国地理标志产品；被告将其汽车命名为“Cognac特别版”，以“干邑棕”命名汽车配色。</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59B12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1.对地理标志的保护不局限于商标法框架，任何侵犯地理标志的行为均应给予法律否定性评价，可以从反不正当竞争法的途径寻求救济。</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2.不正当利用“干邑”地理标志商誉实施足以引人误认为是干邑商品或者与干邑存在特定联系的混淆行为，更重要的是增加了干邑地理标志通用化的风险，构成不正当竞争。</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3.福某汽车中国公司、长安福某汽车公司应停止涉案不正当竞争行为，登报消除影响并赔偿干邑行业办公室主张的200万元赔偿额予以全额支持。</w:t>
            </w:r>
          </w:p>
        </w:tc>
      </w:tr>
      <w:tr w14:paraId="2555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836F086">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F2D09E8">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（2024）黑民终267号【黑龙江法院涉农知识产权司法保护十大典型案例之一】</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B20B16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侵害商标权及不正当竞争纠纷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245180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被告在官网、发票、产品包装上使用“五常大米”标识是否构成侵权；标注“五常种植”是否构成正当使用。</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0F07CE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原告系“五常大米”证明商标权利人；被告官网宣传“五常大米 国家地理标志保护产品”，在增值税发票上使用“五常大米”字样，六款大米包装标注“五常种植”，但未能证明产品来源于五常。</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15390D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1.地理标志证明商标具有标识商品来源地的功能。</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2.经营者未提供证据证明所经营商品来源于地理标志所标示的地区、具有相应的品质，擅自使用地理标志证明商标，构成商标侵权及不正当竞争。</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3.米业公司等停止侵害大米协会商标专用权的行为，停止在被诉侵权大米包装、官网介绍、广告宣传以及其他一切商业活动中不当使用“五常”字样的不正当竞争行为。</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4.赔偿大米协会经济损失200万元及合理支出5万元。</w:t>
            </w:r>
          </w:p>
        </w:tc>
      </w:tr>
      <w:tr w14:paraId="4557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B714642">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59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E08ECB8">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kern w:val="2"/>
                <w:sz w:val="21"/>
                <w:szCs w:val="24"/>
                <w:lang w:val="en-US" w:eastAsia="zh-CN" w:bidi="ar-SA"/>
              </w:rPr>
              <w:t>（2022）鄂知民终483号【2022年度湖北法院知识产权司法保护十大典型案例之三】</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EF24192">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侵害商标权纠纷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2C0777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“桥米”是否构成通用名称及证明商标侵权认定。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F72FF7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原告系“京山桥米”证明商标权利人；被告生产销售“优道桥米”、“优选桥米”商品，产地为武汉市。</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D09ED3F">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1.商标法意义上的通用名称实质与该名称是否具有指代特定商业来源的识别功能紧密相关。</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2.案涉证明商标中的“桥米”名称可以指示地理来源，能够将产自该地理来源的地域性特色产品与其他产地产品相区分，满足地理标志的基本功能，不宜被认定为通用名称。</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3.驳回上诉，维持原判。</w:t>
            </w:r>
          </w:p>
        </w:tc>
      </w:tr>
      <w:tr w14:paraId="35C0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19C6D40">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1"/>
                <w:szCs w:val="24"/>
                <w:lang w:val="en-US" w:eastAsia="zh-CN" w:bidi="ar-SA"/>
              </w:rPr>
              <w:t>60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FEB7AEA">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（2022）粤民终4605号【广东省高级人民法院发布2023年度知识产权司法保护十大案件之四】</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67F8A8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虚假宣传纠纷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CFCD618">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国家级非遗和地理标志产品宣传是否构成虚假宣传；现行标准与传统工艺冲突如何处理。</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18F0F2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传统工艺中香云纱特指莨纱，但现行国家和地方质量标准中香云纱产品既包括莨纱也包括莨绸；被告按现行标准宣传</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A005A8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1.现行国家和地方质量标准对香云纱产品的界定突破了传统工艺定义，被告按现行标准宣传具有事实依据。</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2.拓展香云纱的产品种类促进了产业传承和发展，未损害消费者合法权益及社会公共利益，不构成虚假宣传。</w:t>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br w:type="textWrapping"/>
            </w: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3.驳回上诉，维持原判。</w:t>
            </w:r>
          </w:p>
        </w:tc>
      </w:tr>
      <w:tr w14:paraId="348E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753642A0">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61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FE27FDA">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（2022）最高法民再 14 号</w:t>
            </w:r>
          </w:p>
          <w:p w14:paraId="1FE755C6">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【指导性案例232号】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E54CAC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0F97DB4">
            <w:pPr>
              <w:keepNext w:val="0"/>
              <w:keepLines w:val="0"/>
              <w:widowControl/>
              <w:suppressLineNumbers w:val="0"/>
              <w:jc w:val="both"/>
              <w:rPr>
                <w:rFonts w:hint="eastAsia" w:ascii="方正仿宋_GB2312" w:hAnsi="方正仿宋_GB2312" w:eastAsia="方正仿宋_GB2312" w:cs="方正仿宋_GB2312"/>
                <w:kern w:val="0"/>
                <w:sz w:val="21"/>
                <w:szCs w:val="21"/>
                <w:lang w:val="en-US" w:eastAsia="zh-CN" w:bidi="ar"/>
              </w:rPr>
            </w:pPr>
            <w:r>
              <w:rPr>
                <w:rFonts w:hint="eastAsia" w:ascii="方正仿宋_GB2312" w:hAnsi="方正仿宋_GB2312" w:eastAsia="方正仿宋_GB2312" w:cs="方正仿宋_GB2312"/>
                <w:kern w:val="0"/>
                <w:sz w:val="21"/>
                <w:szCs w:val="21"/>
                <w:lang w:val="en-US" w:eastAsia="zh-CN" w:bidi="ar"/>
              </w:rPr>
              <w:t>1.案涉货物在帕某海运公司责任期间是否发生货损；</w:t>
            </w:r>
          </w:p>
          <w:p w14:paraId="6F31FBAC">
            <w:pPr>
              <w:keepNext w:val="0"/>
              <w:keepLines w:val="0"/>
              <w:widowControl/>
              <w:suppressLineNumbers w:val="0"/>
              <w:jc w:val="both"/>
              <w:rPr>
                <w:rFonts w:hint="eastAsia" w:ascii="方正仿宋_GB2312" w:hAnsi="方正仿宋_GB2312" w:eastAsia="方正仿宋_GB2312" w:cs="方正仿宋_GB2312"/>
                <w:sz w:val="18"/>
                <w:szCs w:val="21"/>
              </w:rPr>
            </w:pPr>
            <w:r>
              <w:rPr>
                <w:rFonts w:hint="eastAsia" w:ascii="方正仿宋_GB2312" w:hAnsi="方正仿宋_GB2312" w:eastAsia="方正仿宋_GB2312" w:cs="方正仿宋_GB2312"/>
                <w:kern w:val="0"/>
                <w:sz w:val="21"/>
                <w:szCs w:val="21"/>
                <w:lang w:val="en-US" w:eastAsia="zh-CN" w:bidi="ar"/>
              </w:rPr>
              <w:t>2.帕某海运公司是否因未在提单如实批注承担赔偿责任。</w:t>
            </w:r>
          </w:p>
          <w:p w14:paraId="7D704F01">
            <w:pPr>
              <w:keepNext w:val="0"/>
              <w:keepLines w:val="0"/>
              <w:widowControl/>
              <w:suppressLineNumbers w:val="0"/>
              <w:jc w:val="both"/>
              <w:rPr>
                <w:rFonts w:hint="eastAsia" w:ascii="方正仿宋_GB2312" w:hAnsi="方正仿宋_GB2312" w:eastAsia="方正仿宋_GB2312" w:cs="方正仿宋_GB2312"/>
              </w:rPr>
            </w:pP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6B774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kern w:val="0"/>
                <w:sz w:val="21"/>
                <w:szCs w:val="21"/>
                <w:lang w:val="en-US" w:eastAsia="zh-CN" w:bidi="ar"/>
              </w:rPr>
              <w:t>某牧实业公司从美国进口54999.642吨酒糟，由帕某海运公司光船租赁的“某巴”轮承运，帕某海运公司签发清洁提单，记载货物外表状况良好。装货时部分货物通过传送带、部分通过抓斗装载，42艘驳船装载的货物颜色不同，且装货时货舱灰尘大、舱口被遮盖。装货港检验显示货物亨特色度L值50.8，符合约定标准。货物到港卸货时，某牧实业公司认为部分货物变色、品质受损，委托检验显示部分货物L值42.5；帕某海运公司委托检验显示整船货L值48.66，且船舶适航适货、管货无不当。</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8F9779D">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承运人签发提单时对装载货物表面状况不良未作批注，应当承担由此引起的不利后果。但是，承运人对于货物表面状况是否如实批注，应当依据其签发提单时是否具备观察货物表面状况的客观条件，以及所作判断是否符合通常标准进行综合考量。</w:t>
            </w:r>
          </w:p>
        </w:tc>
      </w:tr>
      <w:tr w14:paraId="26F7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12CFE5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62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D52659A">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（2021）最高法民申5588号</w:t>
            </w:r>
            <w:r>
              <w:rPr>
                <w:rFonts w:hint="eastAsia" w:ascii="方正仿宋_GB2312" w:hAnsi="方正仿宋_GB2312" w:eastAsia="方正仿宋_GB2312" w:cs="方正仿宋_GB2312"/>
                <w:b/>
                <w:bCs/>
                <w:kern w:val="2"/>
                <w:sz w:val="21"/>
                <w:szCs w:val="24"/>
                <w:lang w:val="en-US" w:eastAsia="zh-CN" w:bidi="ar-SA"/>
              </w:rPr>
              <w:br w:type="textWrapping"/>
            </w:r>
            <w:r>
              <w:rPr>
                <w:rFonts w:hint="eastAsia" w:ascii="方正仿宋_GB2312" w:hAnsi="方正仿宋_GB2312" w:eastAsia="方正仿宋_GB2312" w:cs="方正仿宋_GB2312"/>
                <w:b/>
                <w:bCs/>
                <w:kern w:val="2"/>
                <w:sz w:val="21"/>
                <w:szCs w:val="24"/>
                <w:lang w:val="en-US" w:eastAsia="zh-CN" w:bidi="ar-SA"/>
              </w:rPr>
              <w:t>【指导性案例230号】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DB9783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3EB1AB2">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其一，案涉海上货物运输合同的缔约方是谁；其二，在 FOB 贸易术语下，作为卖方的中国机某国际公司，在完成货物交付并通过信用证议付取得货款后，是否仍需对目的港无人提货产生的集装箱超期使用费、码头堆存费等损失承担赔偿责任；其三，中国机某国际公司是否负有返还集装箱的义务，其未实际占有集装箱的事实是否影响责任认定。</w:t>
            </w:r>
          </w:p>
          <w:p w14:paraId="38293E48">
            <w:pPr>
              <w:jc w:val="both"/>
              <w:rPr>
                <w:rFonts w:hint="eastAsia" w:ascii="方正仿宋_GB2312" w:hAnsi="方正仿宋_GB2312" w:eastAsia="方正仿宋_GB2312" w:cs="方正仿宋_GB2312"/>
              </w:rPr>
            </w:pP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C7A66B1">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2018年3月，海某公司（买方）与中国机某国际公司（卖方）签订贸易合同，以FOB价格条件购买无缝钢管，约定由买方海某公司负责订立运输合同。为履行该合同，海某公司委托晟某公司提供货运代理服务，晟某公司又转委托福某公司向新某航运公司订舱，将26个40尺集装箱货物从天津新港运往泰国林查班港。新某航运公司接受订舱后，于2018年7月2日签发指示提单，提单记载托运人为中国机某国际公司，收货人凭指示，通知方为海某公司。货物于7月14日运抵目的港后无人提取，产生集装箱超期使用费、码头堆存费等损失。中国机某国际公司作为卖方，已将货物装上船舶并通过向银行提交提单议付的方式收到全部货款，此后未再持有提单或主张货物权利。新某航运公司遂起诉要求中国机某国际公司赔偿损失并返还集装箱。</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956BE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契约托运人是与承运人订立运输合同的人，对目的港无人提货的损失承担赔偿责任；实际托运人仅为交付货物的人，不承担该责任。本案中，案涉运输合同由买方海某公司委托他人与新某航运公司订立，运费亦由其支付，中国机某国际公司仅作为卖方交付货物，属于实际托运人而非契约托运人。同时，中国机某国际公司已通过信用证议付取得货款，提单已流转，其不再持有提单或主张货物权利，与新某航运公司之间不存在运输合同关系。因此，根据合同相对性原则，目的港无人提货产生的费用和风险应由契约托运人承担，中国机某国际公司无需承担赔偿责任，亦不负有返还集装箱的义务。一、二审及再审法院均据此驳回了新某航运公司的诉讼请求。</w:t>
            </w:r>
          </w:p>
        </w:tc>
      </w:tr>
      <w:tr w14:paraId="1403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E9BFB20">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63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0373A7B">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（2018）最高法民申163号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AA41C1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A5E0FD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案涉火灾是否因危险货物与普通货物混装导致；火灾事故责任应否由托运人颜某华分担；承运合同中 “运输意外由承运方全责” 的约定是否合法有效。</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B61980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平凉第四汽车运输有限责任公司与颜某华成立公路货物运输合同关系，合同明确约定运输途中货物遗失、损坏、淋湿等意外，均由承运方承担全部经济损失。运输途中案涉车辆起火致货物受损，平凉第四运输公司主张事故系混装危险货物导致，要求颜某华共同担责，但其仅提交照片，未提供有效证据证实混装事实。公安消防部门出具事故认定书，认定火灾原因为车辆行驶中轮胎与刹车鼓摩擦高温引燃周围可燃物，火灾根源为车辆自身故障，与货物本身无关联。最高人民法院再审认定，承运责任约定合法有效，火灾与货物无关，承运人应依约自行承担全部损失。</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1AA81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其一，平凉第四运输公司仅提供照片，无其他有效证据印证，不足以证明危险货物与普通货物混装，二审法院证据认定无误。其二，消防事故认定书明确火灾系车辆轮胎与刹车鼓摩擦高温引燃可燃物所致，事故根源为车辆自身故障，与货物无关。其三，案涉承运合同明确约定运输途中遗失、损坏、淋湿等意外由承运方承担全部经济损失，该约定系当事人真实意思表示，合法有效，对双方具有约束力。综上，平凉第四运输公司主张颜某华分担责任，缺乏事实与法律依据，不予支持。</w:t>
            </w:r>
          </w:p>
        </w:tc>
      </w:tr>
      <w:tr w14:paraId="53E0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11218A2D">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64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634F461">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（2021）最高法民申92号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4B99E3C">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8D9C00E">
            <w:pPr>
              <w:jc w:val="both"/>
              <w:rPr>
                <w:rFonts w:hint="eastAsia" w:ascii="方正仿宋_GB2312" w:hAnsi="方正仿宋_GB2312" w:eastAsia="方正仿宋_GB2312" w:cs="方正仿宋_GB2312"/>
                <w:lang w:eastAsia="zh-CN"/>
              </w:rPr>
            </w:pPr>
            <w:r>
              <w:rPr>
                <w:rFonts w:hint="eastAsia" w:ascii="方正仿宋_GB2312" w:hAnsi="方正仿宋_GB2312" w:eastAsia="方正仿宋_GB2312" w:cs="方正仿宋_GB2312"/>
              </w:rPr>
              <w:t>其一，江西某航运公司与江苏某货运公司之间是否成立合法有效的运输合同关系，江苏某货运公司主张其仅为代理角色，案涉协议系事后补签用于保险理赔，该主张是否成立；其二，案涉《运输合作协议》的效力问题；其三，江苏某货运公司是否应当对案涉玉米货损承担赔偿责任，其主张货损系不可抗力所致的抗辩能否成立</w:t>
            </w:r>
            <w:r>
              <w:rPr>
                <w:rFonts w:hint="eastAsia" w:ascii="方正仿宋_GB2312" w:hAnsi="方正仿宋_GB2312" w:eastAsia="方正仿宋_GB2312" w:cs="方正仿宋_GB2312"/>
                <w:lang w:eastAsia="zh-CN"/>
              </w:rPr>
              <w:t>。</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DE7E97E">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2018 年6月28日，江西某航运公司受 H 公司委托运输散装玉米6月30日，其与江苏某货运公司签订《运输合作协议》，约定由“豫 X”轮承运 1300 吨玉米从浠水至南通港或靖江港，船方需保证货物安全，违约则承担一切损失。此前，江苏某货运公司已与船主吴某签订类似协议，约定由“豫X”轮运输案涉货物</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7月2日</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豫X”轮在装货时突遇阵雨，因关舱不及时导致玉米受潮致损。经公估，货损金额约20万元，江西某航运公司向保险公司赔付16万元后，向江苏某货运公司追偿。江苏某货运公司主张其为代理人、协议无效、货损系不可抗力，且一审未追加吴某为被告程序违法。武汉海事法院、湖北省高院均判决江苏某货运公司赔偿16万元及利息，最高法驳回其再审申请。</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2106DC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关于合同关系，双方签署了加盖公章的书面协议，江西某航运公司已支付转港费，合同已实际履行，故运输合同关系成立，江苏某货运公司关于代理及协议补签的主张缺乏证据。关于合同效力，国内水路运输属国家许可经营项目，江苏某货运公司未取得相应资质，违反强制性规定，故协议无效。关于责任承担，合同无效后，有过错方应赔偿对方损失。案涉货损系承运人关舱不及时所致，江苏某货运公司未能举证货损为不可抗力，应承担赔偿责任。关于程序问题，吴某并非合同当事人，一审未追加其为被告不构成程序不当。最终，法院支持江西某航运公司的追偿请求，判决江苏某货运公司赔偿16万元及利息。</w:t>
            </w:r>
          </w:p>
        </w:tc>
      </w:tr>
      <w:tr w14:paraId="24BC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5A0A648">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65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7D6C2F">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（2018）最高法民申5466号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77018C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7E35B65">
            <w:pPr>
              <w:jc w:val="both"/>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rPr>
              <w:t>合同约定的综合固定价格是否包含运距差异、海达工贸公司月结算行为的法律意义，以及运距差异与合同解除损失的区分</w:t>
            </w:r>
            <w:r>
              <w:rPr>
                <w:rFonts w:hint="eastAsia" w:ascii="方正仿宋_GB2312" w:hAnsi="方正仿宋_GB2312" w:eastAsia="方正仿宋_GB2312" w:cs="方正仿宋_GB2312"/>
                <w:lang w:eastAsia="zh-CN"/>
              </w:rPr>
              <w:t>。</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471F63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哈密海达工贸有限责任公司与中煤科工集团沈阳设计研究院有限公司新疆分公司签订运输合同，明确约定运输单价为综合固定价格，双方未在合同中约定运距差异可调整价款。合同履行期间，双方按照约定进行月结算，海达工贸公司在每次月结算中均未提出实际运距超过合同约定、需增加运距差价款的主张，均认可当期结算价款并完成结算。后合同提前解除，海达工贸公司以实际运距大于合同约定运距、提前解除合同造成其损失为由，要求中煤科工新疆分公司支付运距差价款。中煤科工新疆分公司拒绝该请求，海达工贸公司遂提起诉讼，一、二审法院作出相应裁判后，海达工贸公司不服，向最高人民法院申请再审，法院依法对本案进行再审审查。</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1FED37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双方签订的运输合同明确约定运输单价为综合固定价格，且合同履行全过程中，双方均未对该价格条款作出任何变更，应恪守合同约定。海达工贸公司在每月结算时，均未就实际运距与约定运距的差异主张增加差价款，该行为应视为其对当期结算价款无异议，认可按固定单价结算。其主张实际运距超约定、提前解除合同造成损失，该主张属于合同解除的过错认定及责任承担范畴，与运距差价款无关，且其未提供证据证明自身履约超出约定范围，也无证据证明中煤科工新疆分公司存在违约行为，其对前期运距较长亦系明知且未提出异议。综上，海达工贸公司主张增加运距差价款无事实和法律依据，法院驳回其相关再审请求。</w:t>
            </w:r>
          </w:p>
        </w:tc>
      </w:tr>
      <w:tr w14:paraId="392D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1160402">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66</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82166BF">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（2018）最高法民申273号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38E1BC4">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EDD0B1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一是案涉货运清单和物流托运单未经过付某萌签字，是否影响单据效力；二是《保险公估报告》是否真实合法、能否作为认定货损的有效依据。</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6785C5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付某萌与乌鲁木齐大动脉物流配送有限公司签订《货运合同》，合同约定乙方（付某萌）负责货物清点签字。合同履行过程中，付某萌作为承运人，其承运的车辆发生火灾事故，导致所载货物毁损。为确认货损情况，保险人平安保险公司委托第三方泛华保险公估有限公司制作《保险公估报告》，对货损金额作出认定。诉讼中，付某萌以货运清单、物流托运单无其签字为由，主张该类单据无效，且不认可《保险公估报告》的效力，认为原审判决认定事实缺乏证据。本案有《货运合同》、预约保险协议书、交通事故证明等证据，可证实付某萌的承运人身份及车辆火灾事实。</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1AACC4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尽管案涉《货运合同》约定付某萌负责清点签字，但该约定仅明确其负有清点签字义务，并不等同于货运清单和物流托运单必须有其签字。付某萌主张单据无效，却未提供任何其他证据予以反证，根据证据规则，无法否定该类单据的效力。同时，本案中的《货运合同》、预约保险协议书、交通事故证明等证据，能够相互印证，证实付某萌系涉案承运人及车辆发生火灾的事实。《保险公估报告》由保险人委托第三方专业机构制作，内容真实、程序合法，对货损的计算亦有充分证据支持，应当认定为有效证据。综上，原审判决依据上述证据认定案件事实，并不缺乏证据证明，付某萌的再审理由不能成立，法院驳回其再审请求。</w:t>
            </w:r>
          </w:p>
        </w:tc>
      </w:tr>
      <w:tr w14:paraId="2AB8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EA00B9F">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67</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876914F">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（2025）京01民终853号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A8CAAEA">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EB450D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一是北京某货运公司是否应承担案涉货物（空调外机）的损坏赔偿责任及赔偿金额是否合理；二是姜某1主张的精神损失费、误工费、交通费、电话通讯费是否应得到支持。</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785124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姜某1委托北京某货运公司运输包含空调、空调外机等物品的货物，双方成立公路货物运输合同关系，货运单载明保价声明价值3000元，姜某1称所运空调购买价4580元。姜某1提交视频证明空调外机运输后出现凹陷痕迹，主张货物损失650元，并要求赔偿精神损失费、误工费等各项费用。北京某货运公司一审未到庭，提交的《电子运单服务条款》约定了货物毁损、灭失的赔偿标准，其一审答辩中提及若货物全损应赔偿750元，二审中则否认空调存在损坏，主张姜某1未举证证明货物发运前状态及损坏原因。二审中姜某1提交黑猫投诉截图欲证明货运公司不作为，但该证据与主张的相关费用无直接关联，未被采信，双方无其他新证据提交，二审法院查明的其他事实与一审一致。</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96B640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双方成立的运输合同合法有效，双方应依约履行义务。关于货损赔偿责任，姜某1提交的证据能够证明空调外机运输后出现凹陷，北京某货运公司作为承运人，未提交证据证明存在不可抗力、货物自身自然性质等免责事由，应承担赔偿责任。姜某1主张的650元损失未超过合理范围，且未超出北京某货运公司认可的750元单件货物赔偿范围，故一审判决该笔赔偿并无不当。关于姜某1主张的精神损失费等费用，因现有证据无法证明该些费用与货物受损存在直接关联，且精神损失费在合同纠纷中无充分举证支撑，故不予支持。对于姜某1二审提出的返还货物主张，因无证据证明其一审中明确提出该诉讼请求，二审依法不予处理。综上，双方上诉请求均无事实和法律依据，一审判决认定事实清楚、适用法律正确，故驳回上诉、维持原判。</w:t>
            </w:r>
          </w:p>
        </w:tc>
      </w:tr>
      <w:tr w14:paraId="588A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D47289A">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68</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B6B844F">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（2019）豫15民终3098号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2166A51">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BCC387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一是货物毁损的过错责任主体认定；二是被上诉人是否应承担货物损失赔偿责任及连带清偿责任；三是久信公司反诉要求马德义支付2100元运费的主张是否成立。</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A73E36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2018年12月14日，马德义网购5件太阳能电池板，支付货款8250元，货物由天乙公司从保定运至信阳后，交由久信公司配送，约定运费2100元、货到付款。久信公司安排司机文后喜送货，车辆行至马德义厂门口上坡路段时，货物滑出受损，文后喜称损坏两件并将货物留置。关于受损原因，文后喜主张系马德义强行要求其开上坡，马德义否认。派出所《处警经过》记载货物受损系货主要求强行上坡导致，马德义二审提交证人证言及派出所补充说明佐证自身无过错，但证人证言未被采信。马德义一审起诉要求三被上诉人赔偿损失并承担连带责任，久信公司反诉索要运费，文后喜的运输行为系职务行为。</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08C95C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各方对货物联运合同关系无异议，天乙公司、久信公司作为承运人负有安全运货义务。关于货物毁损责任，一审结合派出所《处警经过》，认定系马德义要求文后喜强行上坡所致，系其自身过错，驳回其赔偿请求；二审明确，马德义虽对过错认定提出异议并提交证据，但未举证货物损失具体数额，诉讼请求缺乏依据。关于久信公司反诉，因未交付受损货物，马德义无支付运费义务，故驳回反诉。文后喜系职务行为，非适格主体，不承担责任。综上，马德义上诉请求不成立，一审判决正确，予以维持。</w:t>
            </w:r>
          </w:p>
        </w:tc>
      </w:tr>
      <w:tr w14:paraId="7D5C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25D2C2E7">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69</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9012A1A">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（2022）沪 02 民终 3258 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BA4C6F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D1A318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保价条款是否应排除适用，以及货物损失的责任承担比例。在承运人存在重大过失时，保价条款的效力；以及托运人未如实申报价值对责任分担的影响。</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76749F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2021年4月6日，上海某医疗公司将</w:t>
            </w:r>
            <w:r>
              <w:rPr>
                <w:rFonts w:hint="eastAsia" w:ascii="方正仿宋_GB2312" w:hAnsi="方正仿宋_GB2312" w:eastAsia="方正仿宋_GB2312" w:cs="方正仿宋_GB2312"/>
                <w:lang w:val="en-US" w:eastAsia="zh-CN"/>
              </w:rPr>
              <w:t>7</w:t>
            </w:r>
            <w:r>
              <w:rPr>
                <w:rFonts w:hint="eastAsia" w:ascii="方正仿宋_GB2312" w:hAnsi="方正仿宋_GB2312" w:eastAsia="方正仿宋_GB2312" w:cs="方正仿宋_GB2312"/>
              </w:rPr>
              <w:t>台价值 510188元的呼吸机交由上海某物流公司运输，声明保价价值2000 元，支付运费630元（含保价费12元）。物流公司未经同意将业务转包给案外人江西某物流公司。4月7日，案外人驾驶员秦某驾驶机件不符技术标准的车辆，因未保持安全车距追尾，导致车辆及货物烧毁，秦某负事故全责。医疗公司因货物未送达，重新发货并支付运费</w:t>
            </w:r>
            <w:r>
              <w:rPr>
                <w:rFonts w:hint="eastAsia" w:ascii="方正仿宋_GB2312" w:hAnsi="方正仿宋_GB2312" w:eastAsia="方正仿宋_GB2312" w:cs="方正仿宋_GB2312"/>
                <w:lang w:val="en-US" w:eastAsia="zh-CN"/>
              </w:rPr>
              <w:t>3</w:t>
            </w:r>
            <w:r>
              <w:rPr>
                <w:rFonts w:hint="eastAsia" w:ascii="方正仿宋_GB2312" w:hAnsi="方正仿宋_GB2312" w:eastAsia="方正仿宋_GB2312" w:cs="方正仿宋_GB2312"/>
              </w:rPr>
              <w:t>553.10元。双方合同约定，托运人应如实申报价值，贵重物品需声明；物流公司则承诺亲自承运，未约定转包权限。</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9BC54B8">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物流公司擅自转包业务构成重大过失：一是合同未约定转包，且未获医疗公司同意；二是转包扩大了货物受损风险；三是转包导致实际承运人操作不当引发事故，故保价条款应排除适用。医疗公司未如实申报510188元货物价值2000元，违反合同义务，影响物流公司合理判断，存在过错。据此，物流公司作为直接侵权方承担主要责任，赔偿30万元；医疗公司承担次要责任，自行承担剩余损失。一审判决后双方上诉，二审维持原判。</w:t>
            </w:r>
          </w:p>
        </w:tc>
      </w:tr>
      <w:tr w14:paraId="707D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38F490BA">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70</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1CD63A7">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（2018）粤71民终34号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02F25C7">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016F0E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是陈永华作为已注销个体工商户的经营者，以及孔繁强作为在运输合同上签字的个人，双方的诉讼主体是否适格；二是案涉定制货物因未如期送达、定作人拒收，是否应当被推定为全损，以及货物价值61000元的认定是否有充分依据；三是孔繁强未将货物运至约定地点是否构成违约，托运人陈永华是否存在虚报货物尺寸、导致超高超限的过错，以及双方过错比例应如何划分；四是在货物未运抵目的地的情况下，孔繁强能否以未收到运费为由主张对案涉货物享有留置权。</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5F9599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2016年7月21日，陈永华经营的个体工商户华盛联金属制品厂（已注销）与承运人孔繁强签订《专线货物运输服务合同》，委托其运输定制的集装箱淋浴间和岗亭，约定收货地点为山西朔城区南榆林乡西村。托运单及合同中标注的货物尺寸为3×6×2.3米，但实际测量结果为6.03米×3.03米×3.06米，明显超高超宽。7月22 日，运输车辆在山西丹河收费站因超限被查扣，恰逢当地汛期暂停超限运输行政审批，导致货物无法及时放行。孔繁强未能将货物运至约定地点，而是将其存放于山西祁县的仓库，定作人因货物延误而拒收。由于案涉货物为定制专用产品，具有时效性和独特用途，无法另行转售处理，一审法院据此推定货物全损，并依据《购销合同书》等证据认定货物价值为61000元。诉讼中，华盛联金属制品厂已注销，其债权由经营者陈永华承继，孔繁强则以主体不适格、无全损、托运人过错及享有留置权等为由提起上诉。</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DC232E9">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华盛联金属制品厂已注销，其债权由经营者陈永华承继，故陈永华作为原告主体适格；孔繁强以个人名义签订并履行运输合同，是合同相对人，作为被告主体适格。对于货物全损与价值认定，案涉货物为定制专用设备，具有时效性与特定用途，未按期交付导致定作人拒收且无法另行处置，因此推定全损具有合理性，货物价值有购销合同、派车单、运输合同相互印证，认定61000元依据充分。在违约责任与过错分担方面，孔繁强作为承运人未将货物运至约定地点，构成违约；陈永华虚报货物尺寸导致超限被扣，自身存在重大过错，一审根据双方过错程度酌定托运人自负30%、承运人承担70%的责任，二审予以维持。关于留置权，合同约定运费到付，货物未运抵目的地，托运人不负有支付运费的义务，故孔繁强不享有留置权。综上，一审判决认定事实清楚，适用法律正确，责任划分合理，二审法院依法驳回上诉，维持原判。</w:t>
            </w:r>
          </w:p>
        </w:tc>
      </w:tr>
      <w:tr w14:paraId="3AAA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57A9963B">
            <w:pPr>
              <w:jc w:val="center"/>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71</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7D6D96D">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（2019）京03民终16633号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1D9BD29">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965E70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一是德邦货运公司是否就保价条款尽到了提示说明义务；二是在保价声明价值明显低于货物实际价值及运输费用的情况下，德邦货运公司是否应承担保价范围外的赔偿责任。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D1245C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2</w:t>
            </w:r>
            <w:r>
              <w:rPr>
                <w:rFonts w:hint="eastAsia" w:ascii="方正仿宋_GB2312" w:hAnsi="方正仿宋_GB2312" w:eastAsia="方正仿宋_GB2312" w:cs="方正仿宋_GB2312"/>
              </w:rPr>
              <w:t>018年12月18 日，郭春委托德邦货运公司从西安运输家具至北京，货运单载明货物品名为家具，件数 52，保价声明价值5000元，运费13714元（到付）。运单背面以加粗字体印制了保价赔偿条款，郭春在托运人处签名确认。12 月 26 日，货物运抵北京后发现10件家具损坏，郭春主张货物实际价值及修复费用合计15万余元，并称保价5000元系德邦工作人员告知 “最高保价5000元” 所致。一审法院依据保价条款酌定赔偿4000元，郭春不服提起上诉，主张德邦物流公司应共同担责，且保价条款因未尽提示说明义务而无效。</w:t>
            </w:r>
          </w:p>
          <w:p w14:paraId="5F1A3A45">
            <w:pPr>
              <w:jc w:val="both"/>
              <w:rPr>
                <w:rFonts w:hint="eastAsia" w:ascii="方正仿宋_GB2312" w:hAnsi="方正仿宋_GB2312" w:eastAsia="方正仿宋_GB2312" w:cs="方正仿宋_GB2312"/>
              </w:rPr>
            </w:pP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E929A8B">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保价条款属于限制承运人责任的格式条款。本案中，保价声明价值5000</w:t>
            </w:r>
            <w:r>
              <w:rPr>
                <w:rFonts w:hint="eastAsia" w:ascii="方正仿宋_GB2312" w:hAnsi="方正仿宋_GB2312" w:eastAsia="方正仿宋_GB2312" w:cs="方正仿宋_GB2312"/>
                <w:lang w:val="en-US" w:eastAsia="zh-CN"/>
              </w:rPr>
              <w:t>元</w:t>
            </w:r>
            <w:r>
              <w:rPr>
                <w:rFonts w:hint="eastAsia" w:ascii="方正仿宋_GB2312" w:hAnsi="方正仿宋_GB2312" w:eastAsia="方正仿宋_GB2312" w:cs="方正仿宋_GB2312"/>
              </w:rPr>
              <w:t>远高于未保价时可获赔偿上限，郭春选择低额保价明显不合常理，德邦货运公司仅以运单背面加粗条款不足以证明其已尽到充分提示说明义务。因德邦货运公司未尽提示说明义务，且保价条款在保价情形下的赔偿上限远低于未保价情形，排除了郭春获得合理赔偿的权利，故该保价条款应认定为无效。关于赔偿数额：一审仅按保价条款酌</w:t>
            </w:r>
            <w:r>
              <w:rPr>
                <w:rFonts w:hint="eastAsia" w:ascii="方正仿宋_GB2312" w:hAnsi="方正仿宋_GB2312" w:eastAsia="方正仿宋_GB2312" w:cs="方正仿宋_GB2312"/>
                <w:lang w:val="en-US" w:eastAsia="zh-CN"/>
              </w:rPr>
              <w:t>定</w:t>
            </w:r>
            <w:r>
              <w:rPr>
                <w:rFonts w:hint="eastAsia" w:ascii="方正仿宋_GB2312" w:hAnsi="方正仿宋_GB2312" w:eastAsia="方正仿宋_GB2312" w:cs="方正仿宋_GB2312"/>
              </w:rPr>
              <w:t>4000元赔偿，对托运人显失公平。二审结合货物损坏情况、运输费用、双方过错程度等因素，酌情改判德邦货运公司赔偿13000元。同时，因郭春未举证证明德邦物流公司系合同相对方，故对其要求德邦物流公司承担连带责任的主张不予支持。</w:t>
            </w:r>
          </w:p>
        </w:tc>
      </w:tr>
      <w:tr w14:paraId="2F7D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45DCBBE7">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72</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C4C4397">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（2014）民申字第577号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7229BE5">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6F51D960">
            <w:pPr>
              <w:jc w:val="both"/>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rPr>
              <w:t>涉案货损责任的承担主体问题，各方围绕责任主体的认定、过错程度的划分，以及各主体在货物运输中的义务范围</w:t>
            </w:r>
            <w:r>
              <w:rPr>
                <w:rFonts w:hint="eastAsia" w:ascii="方正仿宋_GB2312" w:hAnsi="方正仿宋_GB2312" w:eastAsia="方正仿宋_GB2312" w:cs="方正仿宋_GB2312"/>
                <w:lang w:val="en-US" w:eastAsia="zh-CN"/>
              </w:rPr>
              <w:t>.</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24CF0A9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北京康利石材有限公司作为托运人和收货人，委托泉州中阳货运代理有限公司办理货运相关事宜，厦门中远国际货运有限公司泉州分公司作为合同承运人，上海泛亚航运有限公司作为涉案水路运输的实际承运人，各方形成相应的货运代理及运输合同关系。涉案货物的装箱、箱内积载、绑扎、系固等操作均由货物厂家负责，完成后对集装箱进行铅封，各承运人和货运代理人未参与上述环节。运输过程中，因集装箱内货物未进行有效的绑扎、系固，导致货物发生毁损，康利公司因此遭受损失，遂将中阳公司、厦门中货公司及其泉州分公司、泛亚公司诉至法院，要求各方共同承担赔偿责任。一、二审法院已查明上述事实，康利公司不服相关裁判结果，提起再审，最高人民法院对本案进行再审审查并作出认定。</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159F417">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涉案货损系因货物在集装箱内未有效绑扎、系固所致，而该操作由货物厂家负责，合同承运人厦门中货泉州分公司、实际承运人泛亚公司均未参与，无法预见也无法控制该风险，符合上述法律规定的免责情形，故不应承担赔偿责任。泉州中阳公司作为康利公司的货运代理人，仅提供货运代理服务，并非涉案运输合同的当事人，既无约定也无法定的赔偿义务，康利公司要求其担责缺乏事实和法律依据。综上，法院驳回了康利公司的相关主张，认定各被申请人均不承担涉案货损的赔偿责任。</w:t>
            </w:r>
          </w:p>
        </w:tc>
      </w:tr>
      <w:tr w14:paraId="2D12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392DF25">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kern w:val="2"/>
                <w:sz w:val="24"/>
                <w:szCs w:val="24"/>
                <w:vertAlign w:val="baseline"/>
                <w:lang w:val="en-US" w:eastAsia="zh-CN" w:bidi="ar-SA"/>
              </w:rPr>
              <w:t>73</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33FF1C2">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（2022）沪01民终11900号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776175E">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0C485B2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其一，案涉宠物运输合同的责任主体应当如何认定</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其二，刘某主张的各项损失应当如何认定，</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CA1CF5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2017年11月，刘某以10500元购买案涉宠物狗并饲养。2021年7月6日，刘某通过上海宠某公司运营的 “某天下” 平台办理宠物托运，约定运输方式为宠物专线，支付运费688元。实际承运人乐某飞的丈夫夏某在运输途中，未通知刘某便擅自将运输方式变更为大巴客车托运，导致宠物狗因空气不流通死亡。事后，乐某飞向平台赔付1376元，平台将该款项及全额运费688元支付给刘某。刘某认为上海宠某公司与乐某飞侵害其权益，诉至法院要求赔偿宠物损失9124元（10500元扣除已赔付的1376元）、精神损失费10000元及饲养费20000元。乐某飞辩称宠物托运前已健康状况不佳，但未提供充分证据，且未收取运费。上海宠某公司则主张其仅为信息中介，并非运输合同当事人。</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A1F182C">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上海宠某公司作为网络信息平台，仅促成托运人与承运人之间的合同关系，并非运输合同当事人，且已披露承运人信息，故不承担责任；乐某飞作为实际承运人，未能举证证明宠物死亡系不可抗力、货物自身性质或托运人过错导致，且擅自变更运输方式存在过错，应承担赔偿责任。关于损失认定，《某天下运输契约条款》中 “运费3倍赔偿” 的格式条款因平台未履行提示义务而不生效，宠物购买价10500元扣除已赔付的 1376 元后的损失9124元予以支持；精神损失费与饲养费因缺乏事实和法律依据，不予支持。</w:t>
            </w:r>
          </w:p>
        </w:tc>
      </w:tr>
      <w:tr w14:paraId="4BD8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0D00274B">
            <w:pPr>
              <w:jc w:val="center"/>
              <w:rPr>
                <w:rFonts w:hint="eastAsia" w:ascii="方正仿宋_GB2312" w:hAnsi="方正仿宋_GB2312" w:eastAsia="方正仿宋_GB2312" w:cs="方正仿宋_GB2312"/>
                <w:b/>
                <w:bCs/>
                <w:lang w:val="en-US"/>
              </w:rPr>
            </w:pPr>
            <w:r>
              <w:rPr>
                <w:rFonts w:hint="eastAsia" w:ascii="方正仿宋_GB2312" w:hAnsi="方正仿宋_GB2312" w:eastAsia="方正仿宋_GB2312" w:cs="方正仿宋_GB2312"/>
                <w:b/>
                <w:bCs/>
                <w:kern w:val="2"/>
                <w:sz w:val="24"/>
                <w:szCs w:val="24"/>
                <w:vertAlign w:val="baseline"/>
                <w:lang w:val="en-US" w:eastAsia="zh-CN" w:bidi="ar-SA"/>
              </w:rPr>
              <w:t>74</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FB9AAC7">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（2022）黑8101民初1234号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F0CFE60">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34C5A355">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1.赵某与快递公司之间是否成立合法有效的快递运输合同关系；</w:t>
            </w:r>
          </w:p>
          <w:p w14:paraId="58E74D5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2.快递公司对货物烧毁是否应承担赔偿责任，赔偿数额应按保价3000元还是货物实际价值计算；</w:t>
            </w:r>
          </w:p>
          <w:p w14:paraId="3DA07E1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3.快递公司是否就保价条款履行了提示说明义务。</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5224E722">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2</w:t>
            </w:r>
            <w:r>
              <w:rPr>
                <w:rFonts w:hint="eastAsia" w:ascii="方正仿宋_GB2312" w:hAnsi="方正仿宋_GB2312" w:eastAsia="方正仿宋_GB2312" w:cs="方正仿宋_GB2312"/>
              </w:rPr>
              <w:t>022年6月，家住齐齐哈尔市的赵某（农村电商买家）从新华农场杨某（农村电商卖家）处购买一台二手无人机，双方约定由杨某代为办理快递托运，将无人机从新华农场运至齐齐哈尔市赵某处。杨某将无人机送至新华农场某快递公司办理托运，快递公司现场出具快递单号，未明确告知保价条款及赔付规则，亦未提示杨某对货物进行保价，仅自行标注保价3000元。</w:t>
            </w:r>
          </w:p>
          <w:p w14:paraId="01BA9D7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货物运输途中，承运车辆发生交通事故自燃，导致无人机被烧毁，赵某得知后与快递公司协商赔偿事宜，快递公司主张按保价3000元赔偿，赵某不予认可，称无人机实际价值远高于保价，且快递公司未履行保价提示义务，双方协商未果，赵某诉至宝泉岭法院，要求快递公司按货物实际价值赔偿损失。</w:t>
            </w:r>
          </w:p>
          <w:p w14:paraId="14166B7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另查明，赵某提交相关证据证明案涉无人机实际价值为46000元，快递公司未能提交证据证明其已就保价条款、赔付规则向杨某或赵某履行提示说明义务，亦无法证明货物烧毁系不可抗力、托运人过错等法定免责情形所致。法院经审理，认定双方运输合同合法有效，快递公司应承担全部赔偿责任，判决其赔偿赵某46000元，该案判决已生效。</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EDE673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1.农村电商交易中，受托人代为办理快递托运，快递公司接收货物并出具单号，即与货物权利人（买家）形成合法有效的快递运输合同关系；</w:t>
            </w:r>
          </w:p>
          <w:p w14:paraId="2941E4A3">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2.快递公司未就保价条款向托运人或货物权利人履行提示说明义务的，保价条款对当事人不产生约束力，赔偿数额应按货物实际价值计算；</w:t>
            </w:r>
          </w:p>
          <w:p w14:paraId="3244DC4A">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3.承运人无法举证存在法定免责事由的，应对运输过程中货物的毁损、灭失承担全部赔偿责任。</w:t>
            </w:r>
          </w:p>
        </w:tc>
      </w:tr>
      <w:tr w14:paraId="05B9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14:paraId="6F0D633D">
            <w:pPr>
              <w:jc w:val="center"/>
              <w:rPr>
                <w:rFonts w:hint="eastAsia" w:ascii="方正仿宋_GB2312" w:hAnsi="方正仿宋_GB2312" w:eastAsia="方正仿宋_GB2312" w:cs="方正仿宋_GB2312"/>
                <w:b/>
                <w:bCs/>
                <w:kern w:val="2"/>
                <w:sz w:val="24"/>
                <w:szCs w:val="24"/>
                <w:vertAlign w:val="baseline"/>
                <w:lang w:val="en-US" w:eastAsia="zh-CN" w:bidi="ar-SA"/>
              </w:rPr>
            </w:pPr>
            <w:r>
              <w:rPr>
                <w:rFonts w:hint="eastAsia" w:ascii="方正仿宋_GB2312" w:hAnsi="方正仿宋_GB2312" w:eastAsia="方正仿宋_GB2312" w:cs="方正仿宋_GB2312"/>
                <w:b/>
                <w:bCs/>
                <w:kern w:val="2"/>
                <w:sz w:val="24"/>
                <w:szCs w:val="24"/>
                <w:vertAlign w:val="baseline"/>
                <w:lang w:val="en-US" w:eastAsia="zh-CN" w:bidi="ar-SA"/>
              </w:rPr>
              <w:t>75</w:t>
            </w:r>
          </w:p>
        </w:tc>
        <w:tc>
          <w:tcPr>
            <w:tcW w:w="64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4D833EAB">
            <w:pPr>
              <w:jc w:val="center"/>
              <w:rPr>
                <w:rFonts w:hint="eastAsia" w:ascii="方正仿宋_GB2312" w:hAnsi="方正仿宋_GB2312" w:eastAsia="方正仿宋_GB2312" w:cs="方正仿宋_GB2312"/>
                <w:b/>
                <w:bCs/>
                <w:kern w:val="2"/>
                <w:sz w:val="21"/>
                <w:szCs w:val="24"/>
                <w:lang w:val="en-US" w:eastAsia="zh-CN" w:bidi="ar-SA"/>
              </w:rPr>
            </w:pPr>
            <w:r>
              <w:rPr>
                <w:rFonts w:hint="eastAsia" w:ascii="方正仿宋_GB2312" w:hAnsi="方正仿宋_GB2312" w:eastAsia="方正仿宋_GB2312" w:cs="方正仿宋_GB2312"/>
                <w:b/>
                <w:bCs/>
                <w:kern w:val="2"/>
                <w:sz w:val="21"/>
                <w:szCs w:val="24"/>
                <w:lang w:val="en-US" w:eastAsia="zh-CN" w:bidi="ar-SA"/>
              </w:rPr>
              <w:t>（2019）皖0191民初2907号</w:t>
            </w:r>
          </w:p>
        </w:tc>
        <w:tc>
          <w:tcPr>
            <w:tcW w:w="542" w:type="pct"/>
            <w:gridSpan w:val="2"/>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535B03B">
            <w:pPr>
              <w:keepNext w:val="0"/>
              <w:keepLines w:val="0"/>
              <w:widowControl/>
              <w:suppressLineNumbers w:val="0"/>
              <w:spacing w:before="0" w:beforeAutospacing="0" w:after="0" w:afterAutospacing="0" w:line="165" w:lineRule="atLeast"/>
              <w:ind w:left="0" w:leftChars="0" w:right="0" w:rightChars="0"/>
              <w:jc w:val="left"/>
              <w:textAlignment w:val="baseline"/>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pPr>
            <w:r>
              <w:rPr>
                <w:rFonts w:hint="eastAsia" w:ascii="方正仿宋_GB2312" w:hAnsi="方正仿宋_GB2312" w:eastAsia="方正仿宋_GB2312" w:cs="方正仿宋_GB2312"/>
                <w:i w:val="0"/>
                <w:iCs w:val="0"/>
                <w:caps w:val="0"/>
                <w:spacing w:val="4"/>
                <w:kern w:val="0"/>
                <w:sz w:val="21"/>
                <w:szCs w:val="21"/>
                <w:vertAlign w:val="baseline"/>
                <w:lang w:val="en-US" w:eastAsia="zh-CN" w:bidi="ar"/>
              </w:rPr>
              <w:t>物流纠纷</w:t>
            </w:r>
          </w:p>
        </w:tc>
        <w:tc>
          <w:tcPr>
            <w:tcW w:w="898"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EE5EA2F">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常某未保价，Q快递公司是否可免除全额赔偿责任；案涉手机的赔偿额应如何确定，常某主张的5588.01元损失是否应得到支持；Q快递公司未按约定将货物送达目的地，是否构成违约并需承担全部赔偿责任。</w:t>
            </w:r>
          </w:p>
        </w:tc>
        <w:tc>
          <w:tcPr>
            <w:tcW w:w="1277"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72A8782D">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eastAsia="zh-CN"/>
              </w:rPr>
              <w:t>2019年2月，常某以5588.01元购得苹果手机，因质量问题与商家达成退货协议后，通过电话下单委托Q快递公司承运退货手机，支付10元运费但未保价，快递公司员工上门取件并出具收据。后商家代检时发现手机主件缺失，导致退货退款流程关闭，常某未能追回货款，遂起诉要求Q快递公司赔偿5588.01元。</w:t>
            </w:r>
          </w:p>
        </w:tc>
        <w:tc>
          <w:tcPr>
            <w:tcW w:w="1371" w:type="pct"/>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top"/>
          </w:tcPr>
          <w:p w14:paraId="1ED9EEC4">
            <w:pPr>
              <w:jc w:val="both"/>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常某与Q快递公司之间形成合法运输合同关系，Q快递公司收取运费后，负有妥善保管并按约定送达货物的义务。其未履行该义务，导致承运手机主件缺失，构成违约，应承担货物毁损、灭失的赔偿责任。虽常某未对手机保价，但快递公司不能以此免除全额赔偿义务。根据法律规定，货物赔偿额按交付时货物到达地的市场价格计算，常某主张的5588.01元系手机实际购买价，符合市场价格标准，应予支持。综上，法院判决Q快递公司赔偿常某5588.01元，案号为（2019）皖0191民初2907号，判决已生效。</w:t>
            </w:r>
          </w:p>
        </w:tc>
      </w:tr>
      <w:tr w14:paraId="03C5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bottom w:val="single" w:color="auto" w:sz="4" w:space="0"/>
              <w:right w:val="single" w:color="auto" w:sz="4" w:space="0"/>
            </w:tcBorders>
            <w:shd w:val="clear" w:color="auto" w:fill="EE822F" w:themeFill="accent2"/>
            <w:tcMar>
              <w:left w:w="108" w:type="dxa"/>
              <w:right w:w="108" w:type="dxa"/>
            </w:tcMar>
            <w:vAlign w:val="center"/>
          </w:tcPr>
          <w:p w14:paraId="6F31C4A5">
            <w:pPr>
              <w:numPr>
                <w:ilvl w:val="0"/>
                <w:numId w:val="0"/>
              </w:numPr>
              <w:ind w:left="0" w:leftChars="0" w:firstLine="0" w:firstLineChars="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i w:val="0"/>
                <w:color w:val="FFFFFF"/>
                <w:kern w:val="2"/>
                <w:sz w:val="24"/>
                <w:szCs w:val="24"/>
                <w:vertAlign w:val="baseline"/>
                <w:lang w:val="en-US" w:eastAsia="zh-CN" w:bidi="ar-SA"/>
              </w:rPr>
              <w:t>相关法条</w:t>
            </w:r>
          </w:p>
        </w:tc>
      </w:tr>
      <w:tr w14:paraId="5D4E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B162FB5">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2A1B911">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“自然人、法人或者其他组织在生产经营活动中，对其商品或者服务需要取得商标专用权的，应当向商标局申请商标注册。不以使用为目的的恶意商标注册申请，应当予以驳回。</w:t>
            </w:r>
          </w:p>
          <w:p w14:paraId="0359BDDF">
            <w:pPr>
              <w:ind w:firstLine="42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本法有关商品商标的规定，适用于服务商标。”</w:t>
            </w:r>
          </w:p>
        </w:tc>
      </w:tr>
      <w:tr w14:paraId="18FE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2D93291">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《中华人民共和国商标法》第57条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92FE4A3">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未经商标注册人的许可，在同一种商品上使用与其注册商标相同的商标的，或在同一种商品上使用与其注册商标近似的商标，或者在类似商品上使用与其注册商标相同或者近似的商标，容易导致混淆的，均属侵犯注册商标专用权的行为。”</w:t>
            </w:r>
          </w:p>
        </w:tc>
      </w:tr>
      <w:tr w14:paraId="6E2F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410CAD1">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第58条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767C0CA">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“将他人注册商标、未注册的驰名商标作为企业名称中的字号使用，误导公众，构成不正当竞争行为的，依照《中华人民共和国反不正当竞争法》处理。”</w:t>
            </w:r>
          </w:p>
        </w:tc>
      </w:tr>
      <w:tr w14:paraId="2059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7FEF8D7">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第63条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E425188">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“赔偿数额应根据权利人因被侵权所受到的实际损失确定；如果实际损失难以确定，可以根据侵权人因侵权所获得的利益确定。</w:t>
            </w:r>
          </w:p>
          <w:p w14:paraId="23769FEF">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如果权利人的损失或侵权人获得的利益难以确定，则可以参照该商标许可使用费的倍数合理确定。</w:t>
            </w:r>
          </w:p>
          <w:p w14:paraId="240B8415">
            <w:pPr>
              <w:ind w:firstLine="420" w:firstLineChars="20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对于恶意侵犯商标专用权且情节严重的，赔偿数额可以在上述方法确定数额的一倍以上、五倍以下确定。</w:t>
            </w:r>
          </w:p>
          <w:p w14:paraId="588ACC00">
            <w:pPr>
              <w:ind w:firstLine="42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fldChar w:fldCharType="begin"/>
            </w:r>
            <w:r>
              <w:rPr>
                <w:rFonts w:hint="eastAsia" w:ascii="方正仿宋_GB2312" w:hAnsi="方正仿宋_GB2312" w:eastAsia="方正仿宋_GB2312" w:cs="方正仿宋_GB2312"/>
                <w:lang w:val="en-US" w:eastAsia="zh-CN"/>
              </w:rPr>
              <w:instrText xml:space="preserve"> HYPERLINK "http://www.ahdhf.com/law/twsy/15005.html" \t "https://cn.bing.com/_blank" </w:instrText>
            </w:r>
            <w:r>
              <w:rPr>
                <w:rFonts w:hint="eastAsia" w:ascii="方正仿宋_GB2312" w:hAnsi="方正仿宋_GB2312" w:eastAsia="方正仿宋_GB2312" w:cs="方正仿宋_GB2312"/>
                <w:lang w:val="en-US" w:eastAsia="zh-CN"/>
              </w:rPr>
              <w:fldChar w:fldCharType="separate"/>
            </w:r>
            <w:r>
              <w:rPr>
                <w:rFonts w:hint="eastAsia" w:ascii="方正仿宋_GB2312" w:hAnsi="方正仿宋_GB2312" w:eastAsia="方正仿宋_GB2312" w:cs="方正仿宋_GB2312"/>
                <w:lang w:val="en-US" w:eastAsia="zh-CN"/>
              </w:rPr>
              <w:t>赔偿数额应包括权利人为制止侵权行为所支付的合理开支。</w:t>
            </w:r>
            <w:r>
              <w:rPr>
                <w:rFonts w:hint="eastAsia" w:ascii="方正仿宋_GB2312" w:hAnsi="方正仿宋_GB2312" w:eastAsia="方正仿宋_GB2312" w:cs="方正仿宋_GB2312"/>
                <w:lang w:val="en-US" w:eastAsia="zh-CN"/>
              </w:rPr>
              <w:fldChar w:fldCharType="end"/>
            </w:r>
            <w:r>
              <w:rPr>
                <w:rFonts w:hint="eastAsia" w:ascii="方正仿宋_GB2312" w:hAnsi="方正仿宋_GB2312" w:eastAsia="方正仿宋_GB2312" w:cs="方正仿宋_GB2312"/>
                <w:lang w:val="en-US" w:eastAsia="zh-CN"/>
              </w:rPr>
              <w:t>”</w:t>
            </w:r>
          </w:p>
        </w:tc>
      </w:tr>
      <w:tr w14:paraId="3EB4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05DFFD5">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《中华人民共和国反不正当竞争法》第6条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BD50D89">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经营者不得实施擅自使用与他人有一定影响的商品名称、包装、装潢等相同或者近似的标识，擅自使用他人有一定影响的企业名称（包括简称、字号等）、社会组织名称（包括简称等）、姓名（包括笔名、艺名、译名等），擅自使用他人有一定影响的域名主体部分、网站名称、网页等，以及其他足以引人误认为是他人商品或者与他人存在特定联系的混淆行为。”</w:t>
            </w:r>
          </w:p>
        </w:tc>
      </w:tr>
      <w:tr w14:paraId="7B9A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D99AFBE">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《中华人民共和国专利法》第11条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E9EE48F">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发明和实用新型专利权被授予后，除本法另有规定的以外，任何单位或者个人未经专利权人许可，都不得实施其专利，即不得为生产经营目的制造、使用、许诺销售、销售、进口其专利产品，或者使用其专利方法以及使用、许诺销售、销售、进口依照该专利方法直接获得的产品。外观设计专利权被授予后，任何单位或者个人未经专利权人许可，都不得实施其专利，即不得为生产经营目的制造、许诺销售、销售、进口其外观设计专利产品。”</w:t>
            </w:r>
          </w:p>
        </w:tc>
      </w:tr>
      <w:tr w14:paraId="4977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A4D3163">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《中华人民共和国专利法》第64条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51AA585">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发明或者实用新型专利权的保护范围以其权利要求的内容为准，说明书及附图可以用于解释权利要求的内容。外观设计专利权的保护范围以表示在图片或者照片中的该产品的外观设计为准，简要说明可以用于解释图片或者照片所表示的该产品的外观设计。”</w:t>
            </w:r>
          </w:p>
        </w:tc>
      </w:tr>
      <w:tr w14:paraId="6D0D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3124377">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《中华人民共和国专利法》第71条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3045B68">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侵犯专利权的赔偿数额按照权利人因被侵权所受到的实际损失或者侵权人因侵权所获得的利益确定；权利人的损失或者侵权人获得的利益难以确定的，参照该专利许可使用费的倍数合理确定。对故意侵犯专利权，情节严重的，可以在按照上述方法确定数额的一倍以上五倍以下给予赔偿。”</w:t>
            </w:r>
          </w:p>
        </w:tc>
      </w:tr>
      <w:tr w14:paraId="0B88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E705F14">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《中华人民共和国专利法》第77条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033293D">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“为生产经营目的使用、许诺销售或者销售不知道是未经专利权人许可而制造并售出的专利侵权产品，能证明该产品合法来源的，不承担赔偿责任。”</w:t>
            </w:r>
          </w:p>
        </w:tc>
      </w:tr>
      <w:tr w14:paraId="6DF1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7D345BC">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《中华人民共和国著作权法》第10条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4A8178D">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著作权包括下列人身权和财产权：（一）发表权，即决定作品是否公之于众的权利；（二）署名权，即表明作者身份，在作品上署名的权利；（三）修改权，即修改或者授权他人修改作品的权利；（四）保护作品完整权，即保护作品不受歪曲、篡改的权利；（五）复制权，即以印刷、复印、拓印、录音、录像、翻录、翻拍、数字化等方式将作品制作一份或者多份的权利；（六）发行权，即以出售或者赠与方式向公众提供作品的原件或者复制件的权利；（七）出租权，即有偿许可他人临时使用视听作品、计算机软件的原件或者复制件的权利，计算机软件不是出租的主要标的的除外；（八）展览权，即公开陈列美术作品、摄影作品的原件或者复制件的权利；（九）表演权，即公开表演作品，以及用各种手段公开播送作品的表演的权利；（十）放映权，即通过放映机、幻灯机等技术设备公开再现美术、摄影、视听作品等的权利；（十一）广播权，即以有线或者无线方式公开传播或者转播作品，以及通过扩音器或者其他传送符号、声音、图像的类似工具向公众传播广播的作品的权利，但不包括本款第十二项规定的权利；（十二）信息网络传播权，即以有线或者无线方式向公众提供，使公众可以在其选定的时间和地点获得作品的权利；（十三）摄制权，即以摄制视听作品的方法将作品固定在载体上的权利；（十四）改编权，即改变作品，创作出具有独创性的新作品的权利；（十五）翻译权，即将作品从一种语言文字转换成另一种语言文字的权利；（十六）汇编权，即将作品或者作品的片段通过选择或者编排，汇集成新作品的权利；（十七）应当由著作权人享有的其他权利。著作权人可以许可他人行使前款第五项至第十七项规定的权利，并依照约定或者本法有关规定获得报酬。著作权人可以全部或者部分转让本条第一款第五项至第十七项规定的权利，并依照约定或者本法有关规定获得报酬。”</w:t>
            </w:r>
          </w:p>
        </w:tc>
      </w:tr>
      <w:tr w14:paraId="4F27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62CD9D7">
            <w:pPr>
              <w:jc w:val="center"/>
              <w:rPr>
                <w:rFonts w:hint="eastAsia" w:ascii="方正仿宋_GB2312" w:hAnsi="方正仿宋_GB2312" w:eastAsia="方正仿宋_GB2312" w:cs="方正仿宋_GB2312"/>
                <w:b/>
                <w:bCs/>
                <w:i w:val="0"/>
                <w:iCs w:val="0"/>
                <w:color w:val="000000"/>
                <w:kern w:val="0"/>
                <w:sz w:val="21"/>
                <w:szCs w:val="21"/>
                <w:u w:val="none"/>
                <w:lang w:val="en-US" w:eastAsia="zh-CN" w:bidi="ar"/>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《中华人民共和国著作权法》</w:t>
            </w:r>
          </w:p>
          <w:p w14:paraId="659F7845">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第54条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4888046">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侵犯著作权或者与著作权有关的权利的，侵权人应当按照权利人因此受到的实际损失或者侵权人的违法所得给予赔偿；如果权利人的实际损失或者侵权人的违法所得难以计算的，可以参照该权利使用费给予赔偿。</w:t>
            </w:r>
          </w:p>
          <w:p w14:paraId="20C6090E">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fldChar w:fldCharType="begin"/>
            </w:r>
            <w:r>
              <w:rPr>
                <w:rFonts w:hint="eastAsia" w:ascii="方正仿宋_GB2312" w:hAnsi="方正仿宋_GB2312" w:eastAsia="方正仿宋_GB2312" w:cs="方正仿宋_GB2312"/>
                <w:lang w:val="en-US" w:eastAsia="zh-CN"/>
              </w:rPr>
              <w:instrText xml:space="preserve"> HYPERLINK "http://www.zclawyer.com/news_details/380.html" \t "https://cn.bing.com/_blank" </w:instrText>
            </w:r>
            <w:r>
              <w:rPr>
                <w:rFonts w:hint="eastAsia" w:ascii="方正仿宋_GB2312" w:hAnsi="方正仿宋_GB2312" w:eastAsia="方正仿宋_GB2312" w:cs="方正仿宋_GB2312"/>
                <w:lang w:val="en-US" w:eastAsia="zh-CN"/>
              </w:rPr>
              <w:fldChar w:fldCharType="separate"/>
            </w:r>
            <w:r>
              <w:rPr>
                <w:rFonts w:hint="eastAsia" w:ascii="方正仿宋_GB2312" w:hAnsi="方正仿宋_GB2312" w:eastAsia="方正仿宋_GB2312" w:cs="方正仿宋_GB2312"/>
                <w:lang w:val="en-US" w:eastAsia="zh-CN"/>
              </w:rPr>
              <w:t>对故意侵犯著作权或者与著作权有关的权利，情节严重的，可以在按照上述方法确定数额的一倍以上五倍以下给予赔偿。</w:t>
            </w:r>
            <w:r>
              <w:rPr>
                <w:rFonts w:hint="eastAsia" w:ascii="方正仿宋_GB2312" w:hAnsi="方正仿宋_GB2312" w:eastAsia="方正仿宋_GB2312" w:cs="方正仿宋_GB2312"/>
                <w:lang w:val="en-US" w:eastAsia="zh-CN"/>
              </w:rPr>
              <w:fldChar w:fldCharType="end"/>
            </w:r>
            <w:r>
              <w:rPr>
                <w:rFonts w:hint="eastAsia" w:ascii="方正仿宋_GB2312" w:hAnsi="方正仿宋_GB2312" w:eastAsia="方正仿宋_GB2312" w:cs="方正仿宋_GB2312"/>
                <w:lang w:val="en-US" w:eastAsia="zh-CN"/>
              </w:rPr>
              <w:t>”</w:t>
            </w:r>
          </w:p>
        </w:tc>
      </w:tr>
      <w:tr w14:paraId="2BEC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55CD5BC">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4BF606D">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“自然人、法人或者其他组织在生产经营活动中，对其商品或者服务需要取得商标专用权的，应当向商标局申请商标注册。不以使用为目的的恶意商标注册申请，应当予以驳回。</w:t>
            </w:r>
          </w:p>
          <w:p w14:paraId="21004BEA">
            <w:pPr>
              <w:ind w:firstLine="42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本法有关商品商标的规定，适用于服务商标。”</w:t>
            </w:r>
          </w:p>
        </w:tc>
      </w:tr>
      <w:tr w14:paraId="2270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446F463">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《中华人民共和国商标法》第57条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DC94DA4">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未经商标注册人的许可，在同一种商品上使用与其注册商标相同的商标的，或在同一种商品上使用与其注册商标近似的商标，或者在类似商品上使用与其注册商标相同或者近似的商标，容易导致混淆的，均属侵犯注册商标专用权的行为。”</w:t>
            </w:r>
          </w:p>
        </w:tc>
      </w:tr>
      <w:tr w14:paraId="6526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842D988">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第58条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AF8E8BA">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“将他人注册商标、未注册的驰名商标作为企业名称中的字号使用，误导公众，构成不正当竞争行为的，依照《中华人民共和国反不正当竞争法》处理。”</w:t>
            </w:r>
          </w:p>
        </w:tc>
      </w:tr>
      <w:tr w14:paraId="3A17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E424CD0">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第63条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D39FC8A">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“赔偿数额应根据权利人因被侵权所受到的实际损失确定；如果实际损失难以确定，可以根据侵权人因侵权所获得的利益确定。</w:t>
            </w:r>
          </w:p>
          <w:p w14:paraId="7622D27C">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如果权利人的损失或侵权人获得的利益难以确定，则可以参照该商标许可使用费的倍数合理确定。</w:t>
            </w:r>
          </w:p>
          <w:p w14:paraId="38C56A33">
            <w:pPr>
              <w:ind w:firstLine="420" w:firstLineChars="20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对于恶意侵犯商标专用权且情节严重的，赔偿数额可以在上述方法确定数额的一倍以上、五倍以下确定。</w:t>
            </w:r>
          </w:p>
          <w:p w14:paraId="59D36249">
            <w:pPr>
              <w:ind w:firstLine="42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fldChar w:fldCharType="begin"/>
            </w:r>
            <w:r>
              <w:rPr>
                <w:rFonts w:hint="eastAsia" w:ascii="方正仿宋_GB2312" w:hAnsi="方正仿宋_GB2312" w:eastAsia="方正仿宋_GB2312" w:cs="方正仿宋_GB2312"/>
                <w:lang w:val="en-US" w:eastAsia="zh-CN"/>
              </w:rPr>
              <w:instrText xml:space="preserve"> HYPERLINK "http://www.ahdhf.com/law/twsy/15005.html" \t "https://cn.bing.com/_blank" </w:instrText>
            </w:r>
            <w:r>
              <w:rPr>
                <w:rFonts w:hint="eastAsia" w:ascii="方正仿宋_GB2312" w:hAnsi="方正仿宋_GB2312" w:eastAsia="方正仿宋_GB2312" w:cs="方正仿宋_GB2312"/>
                <w:lang w:val="en-US" w:eastAsia="zh-CN"/>
              </w:rPr>
              <w:fldChar w:fldCharType="separate"/>
            </w:r>
            <w:r>
              <w:rPr>
                <w:rFonts w:hint="eastAsia" w:ascii="方正仿宋_GB2312" w:hAnsi="方正仿宋_GB2312" w:eastAsia="方正仿宋_GB2312" w:cs="方正仿宋_GB2312"/>
                <w:lang w:val="en-US" w:eastAsia="zh-CN"/>
              </w:rPr>
              <w:t>赔偿数额应包括权利人为制止侵权行为所支付的合理开支。</w:t>
            </w:r>
            <w:r>
              <w:rPr>
                <w:rFonts w:hint="eastAsia" w:ascii="方正仿宋_GB2312" w:hAnsi="方正仿宋_GB2312" w:eastAsia="方正仿宋_GB2312" w:cs="方正仿宋_GB2312"/>
                <w:lang w:val="en-US" w:eastAsia="zh-CN"/>
              </w:rPr>
              <w:fldChar w:fldCharType="end"/>
            </w:r>
            <w:r>
              <w:rPr>
                <w:rFonts w:hint="eastAsia" w:ascii="方正仿宋_GB2312" w:hAnsi="方正仿宋_GB2312" w:eastAsia="方正仿宋_GB2312" w:cs="方正仿宋_GB2312"/>
                <w:lang w:val="en-US" w:eastAsia="zh-CN"/>
              </w:rPr>
              <w:t>”</w:t>
            </w:r>
          </w:p>
        </w:tc>
      </w:tr>
      <w:tr w14:paraId="7043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178F053">
            <w:pPr>
              <w:jc w:val="center"/>
              <w:rPr>
                <w:rFonts w:hint="eastAsia" w:ascii="方正仿宋_GB2312" w:hAnsi="方正仿宋_GB2312" w:eastAsia="方正仿宋_GB2312" w:cs="方正仿宋_GB2312"/>
                <w:b/>
                <w:bCs/>
                <w:i w:val="0"/>
                <w:iCs w:val="0"/>
                <w:color w:val="000000"/>
                <w:kern w:val="0"/>
                <w:sz w:val="21"/>
                <w:szCs w:val="21"/>
                <w:u w:val="none"/>
                <w:lang w:val="en-US" w:eastAsia="zh-CN" w:bidi="ar"/>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《中华人民共和国反不正当竞争法》</w:t>
            </w:r>
          </w:p>
          <w:p w14:paraId="0B34FC71">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第6条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6DD0963">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经营者不得实施擅自使用与他人有一定影响的商品名称、包装、装潢等相同或者近似的标识，擅自使用他人有一定影响的企业名称（包括简称、字号等）、社会组织名称（包括简称等）、姓名（包括笔名、艺名、译名等），擅自使用他人有一定影响的域名主体部分、网站名称、网页等，以及其他足以引人误认为是他人商品或者与他人存在特定联系的混淆行为。”</w:t>
            </w:r>
          </w:p>
        </w:tc>
      </w:tr>
      <w:tr w14:paraId="3879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5A571E9">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《中华人民共和国专利法》第11条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50210BD">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发明和实用新型专利权被授予后，除本法另有规定的以外，任何单位或者个人未经专利权人许可，都不得实施其专利，即不得为生产经营目的制造、使用、许诺销售、销售、进口其专利产品，或者使用其专利方法以及使用、许诺销售、销售、进口依照该专利方法直接获得的产品。外观设计专利权被授予后，任何单位或者个人未经专利权人许可，都不得实施其专利，即不得为生产经营目的制造、许诺销售、销售、进口其外观设计专利产品。”</w:t>
            </w:r>
          </w:p>
        </w:tc>
      </w:tr>
      <w:tr w14:paraId="7D8D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C1A2B8F">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《中华人民共和国专利法》第64条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B759DCC">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发明或者实用新型专利权的保护范围以其权利要求的内容为准，说明书及附图可以用于解释权利要求的内容。外观设计专利权的保护范围以表示在图片或者照片中的该产品的外观设计为准，简要说明可以用于解释图片或者照片所表示的该产品的外观设计。”</w:t>
            </w:r>
          </w:p>
        </w:tc>
      </w:tr>
      <w:tr w14:paraId="092E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8921E4A">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《中华人民共和国专利法》第71条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CCD5B57">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侵犯专利权的赔偿数额按照权利人因被侵权所受到的实际损失或者侵权人因侵权所获得的利益确定；权利人的损失或者侵权人获得的利益难以确定的，参照该专利许可使用费的倍数合理确定。对故意侵犯专利权，情节严重的，可以在按照上述方法确定数额的一倍以上五倍以下给予赔偿。”</w:t>
            </w:r>
          </w:p>
        </w:tc>
      </w:tr>
      <w:tr w14:paraId="16EE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E3B1B5A">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《中华人民共和国专利法》第77条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A65CBAC">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“为生产经营目的使用、许诺销售或者销售不知道是未经专利权人许可而制造并售出的专利侵权产品，能证明该产品合法来源的，不承担赔偿责任。”</w:t>
            </w:r>
          </w:p>
        </w:tc>
      </w:tr>
      <w:tr w14:paraId="5284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7D3416C">
            <w:pPr>
              <w:jc w:val="center"/>
              <w:rPr>
                <w:rFonts w:hint="eastAsia" w:ascii="方正仿宋_GB2312" w:hAnsi="方正仿宋_GB2312" w:eastAsia="方正仿宋_GB2312" w:cs="方正仿宋_GB2312"/>
                <w:b/>
                <w:bCs/>
                <w:i w:val="0"/>
                <w:iCs w:val="0"/>
                <w:color w:val="000000"/>
                <w:kern w:val="0"/>
                <w:sz w:val="21"/>
                <w:szCs w:val="21"/>
                <w:u w:val="none"/>
                <w:lang w:val="en-US" w:eastAsia="zh-CN" w:bidi="ar"/>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《中华人民共和国著作权法》</w:t>
            </w:r>
          </w:p>
          <w:p w14:paraId="67276C66">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第10条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AD40F37">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著作权包括下列人身权和财产权：（一）发表权，即决定作品是否公之于众的权利；（二）署名权，即表明作者身份，在作品上署名的权利；（三）修改权，即修改或者授权他人修改作品的权利；（四）保护作品完整权，即保护作品不受歪曲、篡改的权利；（五）复制权，即以印刷、复印、拓印、录音、录像、翻录、翻拍、数字化等方式将作品制作一份或者多份的权利；（六）发行权，即以出售或者赠与方式向公众提供作品的原件或者复制件的权利；（七）出租权，即有偿许可他人临时使用视听作品、计算机软件的原件或者复制件的权利，计算机软件不是出租的主要标的的除外；（八）展览权，即公开陈列美术作品、摄影作品的原件或者复制件的权利；（九）表演权，即公开表演作品，以及用各种手段公开播送作品的表演的权利；（十）放映权，即通过放映机、幻灯机等技术设备公开再现美术、摄影、视听作品等的权利；（十一）广播权，即以有线或者无线方式公开传播或者转播作品，以及通过扩音器或者其他传送符号、声音、图像的类似工具向公众传播广播的作品的权利，但不包括本款第十二项规定的权利；（十二）信息网络传播权，即以有线或者无线方式向公众提供，使公众可以在其选定的时间和地点获得作品的权利；（十三）摄制权，即以摄制视听作品的方法将作品固定在载体上的权利；（十四）改编权，即改变作品，创作出具有独创性的新作品的权利；（十五）翻译权，即将作品从一种语言文字转换成另一种语言文字的权利；（十六）汇编权，即将作品或者作品的片段通过选择或者编排，汇集成新作品的权利；（十七）应当由著作权人享有的其他权利。著作权人可以许可他人行使前款第五项至第十七项规定的权利，并依照约定或者本法有关规定获得报酬。著作权人可以全部或者部分转让本条第一款第五项至第十七项规定的权利，并依照约定或者本法有关规定获得报酬。”</w:t>
            </w:r>
          </w:p>
        </w:tc>
      </w:tr>
      <w:tr w14:paraId="54B4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DBDCCD4">
            <w:pPr>
              <w:jc w:val="center"/>
              <w:rPr>
                <w:rFonts w:hint="eastAsia" w:ascii="方正仿宋_GB2312" w:hAnsi="方正仿宋_GB2312" w:eastAsia="方正仿宋_GB2312" w:cs="方正仿宋_GB2312"/>
                <w:b/>
                <w:bCs/>
                <w:i w:val="0"/>
                <w:iCs w:val="0"/>
                <w:color w:val="000000"/>
                <w:kern w:val="0"/>
                <w:sz w:val="21"/>
                <w:szCs w:val="21"/>
                <w:u w:val="none"/>
                <w:lang w:val="en-US" w:eastAsia="zh-CN" w:bidi="ar"/>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《中华人民共和国著作权法》</w:t>
            </w:r>
          </w:p>
          <w:p w14:paraId="393037C6">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第54条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3F620B9">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侵犯著作权或者与著作权有关的权利的，侵权人应当按照权利人因此受到的实际损失或者侵权人的违法所得给予赔偿；如果权利人的实际损失或者侵权人的违法所得难以计算的，可以参照该权利使用费给予赔偿。</w:t>
            </w:r>
          </w:p>
          <w:p w14:paraId="329CCCA2">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fldChar w:fldCharType="begin"/>
            </w:r>
            <w:r>
              <w:rPr>
                <w:rFonts w:hint="eastAsia" w:ascii="方正仿宋_GB2312" w:hAnsi="方正仿宋_GB2312" w:eastAsia="方正仿宋_GB2312" w:cs="方正仿宋_GB2312"/>
                <w:lang w:val="en-US" w:eastAsia="zh-CN"/>
              </w:rPr>
              <w:instrText xml:space="preserve"> HYPERLINK "http://www.zclawyer.com/news_details/380.html" \t "https://cn.bing.com/_blank" </w:instrText>
            </w:r>
            <w:r>
              <w:rPr>
                <w:rFonts w:hint="eastAsia" w:ascii="方正仿宋_GB2312" w:hAnsi="方正仿宋_GB2312" w:eastAsia="方正仿宋_GB2312" w:cs="方正仿宋_GB2312"/>
                <w:lang w:val="en-US" w:eastAsia="zh-CN"/>
              </w:rPr>
              <w:fldChar w:fldCharType="separate"/>
            </w:r>
            <w:r>
              <w:rPr>
                <w:rFonts w:hint="eastAsia" w:ascii="方正仿宋_GB2312" w:hAnsi="方正仿宋_GB2312" w:eastAsia="方正仿宋_GB2312" w:cs="方正仿宋_GB2312"/>
                <w:lang w:val="en-US" w:eastAsia="zh-CN"/>
              </w:rPr>
              <w:t>对故意侵犯著作权或者与著作权有关的权利，情节严重的，可以在按照上述方法确定数额的一倍以上五倍以下给予赔偿。</w:t>
            </w:r>
            <w:r>
              <w:rPr>
                <w:rFonts w:hint="eastAsia" w:ascii="方正仿宋_GB2312" w:hAnsi="方正仿宋_GB2312" w:eastAsia="方正仿宋_GB2312" w:cs="方正仿宋_GB2312"/>
                <w:lang w:val="en-US" w:eastAsia="zh-CN"/>
              </w:rPr>
              <w:fldChar w:fldCharType="end"/>
            </w:r>
            <w:r>
              <w:rPr>
                <w:rFonts w:hint="eastAsia" w:ascii="方正仿宋_GB2312" w:hAnsi="方正仿宋_GB2312" w:eastAsia="方正仿宋_GB2312" w:cs="方正仿宋_GB2312"/>
                <w:lang w:val="en-US" w:eastAsia="zh-CN"/>
              </w:rPr>
              <w:t>”</w:t>
            </w:r>
          </w:p>
        </w:tc>
      </w:tr>
      <w:tr w14:paraId="14F5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0A40A2A">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42333C2">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“自然人、法人或者其他组织在生产经营活动中，对其商品或者服务需要取得商标专用权的，应当向商标局申请商标注册。不以使用为目的的恶意商标注册申请，应当予以驳回。</w:t>
            </w:r>
          </w:p>
          <w:p w14:paraId="056150EF">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本法有关商品商标的规定，适用于服务商标。”</w:t>
            </w:r>
          </w:p>
        </w:tc>
      </w:tr>
      <w:tr w14:paraId="4F5C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F570E6E">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《中华人民共和国商标法》第57条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7CC7096">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未经商标注册人的许可，在同一种商品上使用与其注册商标相同的商标的，或在同一种商品上使用与其注册商标近似的商标，或者在类似商品上使用与其注册商标相同或者近似的商标，容易导致混淆的，均属侵犯注册商标专用权的行为。”</w:t>
            </w:r>
          </w:p>
        </w:tc>
      </w:tr>
      <w:tr w14:paraId="0BE2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BB2E690">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第58条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B3A5EF3">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“将他人注册商标、未注册的驰名商标作为企业名称中的字号使用，误导公众，构成不正当竞争行为的，依照《中华人民共和国反不正当竞争法》处理。”</w:t>
            </w:r>
          </w:p>
        </w:tc>
      </w:tr>
      <w:tr w14:paraId="3694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136F635">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《中华人民共和国商标法》</w:t>
            </w:r>
            <w:r>
              <w:rPr>
                <w:rFonts w:hint="eastAsia" w:ascii="方正仿宋_GB2312" w:hAnsi="方正仿宋_GB2312" w:eastAsia="方正仿宋_GB2312" w:cs="方正仿宋_GB2312"/>
                <w:b/>
                <w:bCs/>
                <w:i w:val="0"/>
                <w:iCs w:val="0"/>
                <w:color w:val="000000" w:themeColor="dark1"/>
                <w:kern w:val="0"/>
                <w:sz w:val="21"/>
                <w:szCs w:val="21"/>
                <w:u w:val="none"/>
                <w:lang w:val="en-US" w:eastAsia="zh-CN" w:bidi="ar"/>
                <w14:textFill>
                  <w14:solidFill>
                    <w14:schemeClr w14:val="dk1"/>
                  </w14:solidFill>
                </w14:textFill>
              </w:rPr>
              <w:t>第63条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0938D11">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“赔偿数额应根据权利人因被侵权所受到的实际损失确定；如果实际损失难以确定，可以根据侵权人因侵权所获得的利益确定。</w:t>
            </w:r>
          </w:p>
          <w:p w14:paraId="0A2C3EC7">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如果权利人的损失或侵权人获得的利益难以确定，则可以参照该商标许可使用费的倍数合理确定。</w:t>
            </w:r>
          </w:p>
          <w:p w14:paraId="374ED5A6">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对于恶意侵犯商标专用权且情节严重的，赔偿数额可以在上述方法确定数额的一倍以上、五倍以下确定。</w:t>
            </w:r>
          </w:p>
          <w:p w14:paraId="36F07EB0">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fldChar w:fldCharType="begin"/>
            </w:r>
            <w:r>
              <w:rPr>
                <w:rFonts w:hint="eastAsia" w:ascii="方正仿宋_GB2312" w:hAnsi="方正仿宋_GB2312" w:eastAsia="方正仿宋_GB2312" w:cs="方正仿宋_GB2312"/>
                <w:lang w:val="en-US" w:eastAsia="zh-CN"/>
              </w:rPr>
              <w:instrText xml:space="preserve"> HYPERLINK "http://www.ahdhf.com/law/twsy/15005.html" \t "https://cn.bing.com/_blank" </w:instrText>
            </w:r>
            <w:r>
              <w:rPr>
                <w:rFonts w:hint="eastAsia" w:ascii="方正仿宋_GB2312" w:hAnsi="方正仿宋_GB2312" w:eastAsia="方正仿宋_GB2312" w:cs="方正仿宋_GB2312"/>
                <w:lang w:val="en-US" w:eastAsia="zh-CN"/>
              </w:rPr>
              <w:fldChar w:fldCharType="separate"/>
            </w:r>
            <w:r>
              <w:rPr>
                <w:rFonts w:hint="eastAsia" w:ascii="方正仿宋_GB2312" w:hAnsi="方正仿宋_GB2312" w:eastAsia="方正仿宋_GB2312" w:cs="方正仿宋_GB2312"/>
                <w:lang w:val="en-US" w:eastAsia="zh-CN"/>
              </w:rPr>
              <w:t>赔偿数额应包括权利人为制止侵权行为所支付的合理开支。</w:t>
            </w:r>
            <w:r>
              <w:rPr>
                <w:rFonts w:hint="eastAsia" w:ascii="方正仿宋_GB2312" w:hAnsi="方正仿宋_GB2312" w:eastAsia="方正仿宋_GB2312" w:cs="方正仿宋_GB2312"/>
                <w:lang w:val="en-US" w:eastAsia="zh-CN"/>
              </w:rPr>
              <w:fldChar w:fldCharType="end"/>
            </w:r>
            <w:r>
              <w:rPr>
                <w:rFonts w:hint="eastAsia" w:ascii="方正仿宋_GB2312" w:hAnsi="方正仿宋_GB2312" w:eastAsia="方正仿宋_GB2312" w:cs="方正仿宋_GB2312"/>
                <w:lang w:val="en-US" w:eastAsia="zh-CN"/>
              </w:rPr>
              <w:t>”</w:t>
            </w:r>
          </w:p>
        </w:tc>
      </w:tr>
      <w:tr w14:paraId="6901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41FCBFC">
            <w:pPr>
              <w:jc w:val="center"/>
              <w:rPr>
                <w:rFonts w:hint="eastAsia" w:ascii="方正仿宋_GB2312" w:hAnsi="方正仿宋_GB2312" w:eastAsia="方正仿宋_GB2312" w:cs="方正仿宋_GB2312"/>
                <w:b/>
                <w:bCs/>
                <w:i w:val="0"/>
                <w:iCs w:val="0"/>
                <w:color w:val="000000"/>
                <w:kern w:val="0"/>
                <w:sz w:val="21"/>
                <w:szCs w:val="21"/>
                <w:u w:val="none"/>
                <w:lang w:val="en-US" w:eastAsia="zh-CN" w:bidi="ar"/>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《中华人民共和国反不正当竞争法》</w:t>
            </w:r>
          </w:p>
          <w:p w14:paraId="7938A908">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第6条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1933A35">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经营者不得实施擅自使用与他人有一定影响的商品名称、包装、装潢等相同或者近似的标识，擅自使用他人有一定影响的企业名称（包括简称、字号等）、社会组织名称（包括简称等）、姓名（包括笔名、艺名、译名等），擅自使用他人有一定影响的域名主体部分、网站名称、网页等，以及其他足以引人误认为是他人商品或者与他人存在特定联系的混淆行为。”</w:t>
            </w:r>
          </w:p>
        </w:tc>
      </w:tr>
      <w:tr w14:paraId="2C85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D9533C6">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bCs/>
                <w:i w:val="0"/>
                <w:iCs w:val="0"/>
                <w:color w:val="000000"/>
                <w:kern w:val="0"/>
                <w:sz w:val="21"/>
                <w:szCs w:val="21"/>
                <w:u w:val="none"/>
                <w:lang w:val="en-US" w:eastAsia="zh-CN" w:bidi="ar"/>
              </w:rPr>
              <w:t>《中华人民共和国专利法》第11条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A208772">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发明和实用新型专利权被授予后，除本法另有规定的以外，任何单位或者个人未经专利权人许可，都不得实施其专利，即不得为生产经营目的制造、使用、许诺销售、销售、进口其专利产品，或者使用其专利方法以及使用、许诺销售、销售、进口依照该专利方法直接获得的产品。外观设计专利权被授予后，任何单位或者个人未经专利权人许可，都不得实施其专利，即不得为生产经营目的制造、许诺销售、销售、进口其外观设计专利产品。”</w:t>
            </w:r>
          </w:p>
        </w:tc>
      </w:tr>
      <w:tr w14:paraId="2AFE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3C69831">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60885D86">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9</w:t>
            </w:r>
            <w:r>
              <w:rPr>
                <w:rFonts w:hint="eastAsia" w:ascii="方正仿宋_GB2312" w:hAnsi="方正仿宋_GB2312" w:eastAsia="方正仿宋_GB2312" w:cs="方正仿宋_GB2312"/>
                <w:b/>
                <w:bCs/>
              </w:rPr>
              <w:t>条第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款</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58575A9">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“经营者不得对其商品的性能、功能、质量、销售状况、用户评价、曾获荣誉等作虚假或者引人误解的商业宣传，欺骗、误导消费者和其他经营者。”</w:t>
            </w:r>
          </w:p>
        </w:tc>
      </w:tr>
      <w:tr w14:paraId="246A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2497198">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《中华人民共和国商标法》</w:t>
            </w:r>
          </w:p>
          <w:p w14:paraId="194E29B9">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57</w:t>
            </w:r>
            <w:r>
              <w:rPr>
                <w:rFonts w:hint="eastAsia" w:ascii="方正仿宋_GB2312" w:hAnsi="方正仿宋_GB2312" w:eastAsia="方正仿宋_GB2312" w:cs="方正仿宋_GB2312"/>
                <w:b/>
                <w:bCs/>
              </w:rPr>
              <w:t>条第</w:t>
            </w:r>
            <w:r>
              <w:rPr>
                <w:rFonts w:hint="eastAsia" w:ascii="方正仿宋_GB2312" w:hAnsi="方正仿宋_GB2312" w:eastAsia="方正仿宋_GB2312" w:cs="方正仿宋_GB2312"/>
                <w:b/>
                <w:bCs/>
                <w:lang w:val="en-US" w:eastAsia="zh-CN"/>
              </w:rPr>
              <w:t>7</w:t>
            </w:r>
            <w:r>
              <w:rPr>
                <w:rFonts w:hint="eastAsia" w:ascii="方正仿宋_GB2312" w:hAnsi="方正仿宋_GB2312" w:eastAsia="方正仿宋_GB2312" w:cs="方正仿宋_GB2312"/>
                <w:b/>
                <w:bCs/>
              </w:rPr>
              <w:t>项</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6A35E6B">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“有下列行为之一的，均属侵犯注册商标专用权：</w:t>
            </w:r>
            <w:bookmarkStart w:id="0" w:name="tiao_57_kuan_1_xiang_7"/>
            <w:bookmarkEnd w:id="0"/>
            <w:bookmarkStart w:id="1" w:name="tiao_57_kuan_1_xiang_1"/>
            <w:bookmarkEnd w:id="1"/>
            <w:r>
              <w:rPr>
                <w:rFonts w:hint="eastAsia" w:ascii="方正仿宋_GB2312" w:hAnsi="方正仿宋_GB2312" w:eastAsia="方正仿宋_GB2312" w:cs="方正仿宋_GB2312"/>
              </w:rPr>
              <w:t>（七）给他人的注册商标专用权造成其他损害的。”</w:t>
            </w:r>
          </w:p>
        </w:tc>
      </w:tr>
      <w:tr w14:paraId="125A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C054161">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《最高人民法院关于审理商标民事纠纷案件适用法律若干问题的解释》</w:t>
            </w:r>
          </w:p>
          <w:p w14:paraId="3E50238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191526D">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“下列行为属于商标法第五十七条第（七）项规定的给他人注册商标专用权造成其他损害的行为：</w:t>
            </w:r>
          </w:p>
          <w:p w14:paraId="29F68AA6">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（一）将与他人注册商标相同或者相近似的文字作为企业的字号在相同或者类似商品上突出使用，容易使相关公众产生误认的；</w:t>
            </w:r>
          </w:p>
          <w:p w14:paraId="03A73255">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（二）复制、摹仿、翻译他人注册的驰名商标或其主要部分在不相同或者不相类似商品上作为商标使用，误导公众，致使该驰名商标注册人的利益可能受到损害的；</w:t>
            </w:r>
          </w:p>
          <w:p w14:paraId="236FC810">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（三）将与他人注册商标相同或者相近似的文字注册为域名，并且通过该域名进行相关商品交易的电子商务，容易使相关公众产生误认的。”</w:t>
            </w:r>
          </w:p>
        </w:tc>
      </w:tr>
      <w:tr w14:paraId="03B7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396EF35">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2EB05DAB">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1716389">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“经营者在生产经营活动中，应当遵循自愿、平等、公平、诚信的原则，遵守法律和商业道德，公平参与市场竞争。</w:t>
            </w:r>
          </w:p>
          <w:p w14:paraId="10F9F428">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本法所称的不正当竞争行为，是指经营者在生产经营活动中，违反本法规定，扰乱市场竞争秩序，损害其他经营者或者消费者的合法权益的行为。</w:t>
            </w:r>
          </w:p>
          <w:p w14:paraId="5EC1B4BC">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本法所称的经营者，是指从事商品生产、经营或者提供服务（以下所称商品包括服务）的自然人、法人和非法人组织。”</w:t>
            </w:r>
          </w:p>
        </w:tc>
      </w:tr>
      <w:tr w14:paraId="6B72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37467B4F">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7691F4C5">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7</w:t>
            </w:r>
            <w:r>
              <w:rPr>
                <w:rFonts w:hint="eastAsia" w:ascii="方正仿宋_GB2312" w:hAnsi="方正仿宋_GB2312" w:eastAsia="方正仿宋_GB2312" w:cs="方正仿宋_GB2312"/>
                <w:b/>
                <w:bCs/>
              </w:rPr>
              <w:t>条</w:t>
            </w:r>
          </w:p>
          <w:p w14:paraId="26EF3153">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项</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14411F9">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“经营者不得实施下列混淆行为，引人误认为是他人商品或者与他人存在特定联系：（一）擅自使用与他人有一定影响的商品名称、包装、装潢等相同或者近似的标识；”</w:t>
            </w:r>
          </w:p>
        </w:tc>
      </w:tr>
      <w:tr w14:paraId="320C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2D4C0132">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《中华人民共和国商标法》第</w:t>
            </w:r>
            <w:r>
              <w:rPr>
                <w:rFonts w:hint="eastAsia" w:ascii="方正仿宋_GB2312" w:hAnsi="方正仿宋_GB2312" w:eastAsia="方正仿宋_GB2312" w:cs="方正仿宋_GB2312"/>
                <w:b/>
                <w:bCs/>
                <w:lang w:val="en-US" w:eastAsia="zh-CN"/>
              </w:rPr>
              <w:t>48</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947FB4B">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“本法所称商标的使用，是指将商标用于商品、商品包装或者容器以及商品交易文书上，或者将商标用于广告宣传、展览以及其他商业活动中，用于识别商品来源的行为。”</w:t>
            </w:r>
          </w:p>
        </w:tc>
      </w:tr>
      <w:tr w14:paraId="36EF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29CF204">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《中华人民共和国商标法》第</w:t>
            </w:r>
            <w:r>
              <w:rPr>
                <w:rFonts w:hint="eastAsia" w:ascii="方正仿宋_GB2312" w:hAnsi="方正仿宋_GB2312" w:eastAsia="方正仿宋_GB2312" w:cs="方正仿宋_GB2312"/>
                <w:b/>
                <w:bCs/>
                <w:lang w:val="en-US" w:eastAsia="zh-CN"/>
              </w:rPr>
              <w:t>57</w:t>
            </w:r>
            <w:r>
              <w:rPr>
                <w:rFonts w:hint="eastAsia" w:ascii="方正仿宋_GB2312" w:hAnsi="方正仿宋_GB2312" w:eastAsia="方正仿宋_GB2312" w:cs="方正仿宋_GB2312"/>
                <w:b/>
                <w:bCs/>
              </w:rPr>
              <w:t>条</w:t>
            </w:r>
          </w:p>
          <w:p w14:paraId="46F3224E">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3</w:t>
            </w:r>
            <w:r>
              <w:rPr>
                <w:rFonts w:hint="eastAsia" w:ascii="方正仿宋_GB2312" w:hAnsi="方正仿宋_GB2312" w:eastAsia="方正仿宋_GB2312" w:cs="方正仿宋_GB2312"/>
                <w:b/>
                <w:bCs/>
              </w:rPr>
              <w:t>项</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F2277F0">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“有下列行为之一的，均属侵犯注册商标专用权：（三）销售侵犯注册商标专用权的商品的；”</w:t>
            </w:r>
          </w:p>
        </w:tc>
      </w:tr>
      <w:tr w14:paraId="5FE9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880796B">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344D99E9">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22</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D4FEE4A">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“经营者违反本法规定，给他人造成损害的，应当依法承担民事责任。</w:t>
            </w:r>
          </w:p>
          <w:p w14:paraId="5400B7A3">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经营者的合法权益受到不正当竞争行为损害的，可以向人民法院提起诉讼。</w:t>
            </w:r>
          </w:p>
          <w:p w14:paraId="711A72B6">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因不正当竞争行为受到损害的经营者的赔偿数额，按照其因被侵权所受到的实际损失或者侵权人因侵权所获得的利益确定。经营者故意实施侵犯商业秘密行为，情节严重的，可以在按照上述方法确定数额的一倍以上五倍以下确定赔偿数额。赔偿数额还应当包括经营者为制止侵权行为所支付的合理开支。</w:t>
            </w:r>
          </w:p>
          <w:p w14:paraId="3D3526CD">
            <w:pPr>
              <w:ind w:firstLine="210" w:firstLineChars="1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经营者违反本法第七条、第十条规定，权利人因被侵权所受到的实际损失、侵权人因侵权所获得的利益难以确定的，由人民法院根据侵权行为的情节判决给予权利人五百万元以下的赔偿。”</w:t>
            </w:r>
          </w:p>
        </w:tc>
      </w:tr>
      <w:tr w14:paraId="6BE2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5F4DB2A">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《关于审理涉及驰名商标保护的民事纠纷案件应用法律若干问题的解释》</w:t>
            </w:r>
          </w:p>
          <w:p w14:paraId="583A6A9E">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3</w:t>
            </w:r>
            <w:r>
              <w:rPr>
                <w:rFonts w:hint="eastAsia" w:ascii="方正仿宋_GB2312" w:hAnsi="方正仿宋_GB2312" w:eastAsia="方正仿宋_GB2312" w:cs="方正仿宋_GB2312"/>
                <w:b/>
                <w:bCs/>
              </w:rPr>
              <w:t>条</w:t>
            </w:r>
          </w:p>
          <w:p w14:paraId="102900CA">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款</w:t>
            </w:r>
          </w:p>
          <w:p w14:paraId="2AD8768A">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项</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13B9D4A">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“在下列民事纠纷案件中，人民法院对于所涉商标是否驰名不予审查：（一）被诉侵犯商标权或者不正当竞争行为的成立不以商标驰名为事实根据的；”</w:t>
            </w:r>
          </w:p>
        </w:tc>
      </w:tr>
      <w:tr w14:paraId="0056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9C7D884">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7E73C9F8">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25</w:t>
            </w:r>
            <w:r>
              <w:rPr>
                <w:rFonts w:hint="eastAsia" w:ascii="方正仿宋_GB2312" w:hAnsi="方正仿宋_GB2312" w:eastAsia="方正仿宋_GB2312" w:cs="方正仿宋_GB2312"/>
                <w:b/>
                <w:bCs/>
              </w:rPr>
              <w:t>条</w:t>
            </w:r>
          </w:p>
          <w:p w14:paraId="6245949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款</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F6A1613">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“经营者违反本法第九条规定，属于发布虚假广告的，依照《中华人民共和国广告法》的规定处罚。”</w:t>
            </w:r>
          </w:p>
        </w:tc>
      </w:tr>
      <w:tr w14:paraId="260E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4DD9662">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《中华人民共和国商标法》第</w:t>
            </w:r>
            <w:r>
              <w:rPr>
                <w:rFonts w:hint="eastAsia" w:ascii="方正仿宋_GB2312" w:hAnsi="方正仿宋_GB2312" w:eastAsia="方正仿宋_GB2312" w:cs="方正仿宋_GB2312"/>
                <w:b/>
                <w:bCs/>
                <w:lang w:val="en-US" w:eastAsia="zh-CN"/>
              </w:rPr>
              <w:t>63</w:t>
            </w:r>
            <w:r>
              <w:rPr>
                <w:rFonts w:hint="eastAsia" w:ascii="方正仿宋_GB2312" w:hAnsi="方正仿宋_GB2312" w:eastAsia="方正仿宋_GB2312" w:cs="方正仿宋_GB2312"/>
                <w:b/>
                <w:bCs/>
              </w:rPr>
              <w:t>条</w:t>
            </w:r>
          </w:p>
          <w:p w14:paraId="023FF4D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款</w:t>
            </w:r>
          </w:p>
          <w:p w14:paraId="57560CE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款</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56C5521">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侵犯商标专用权的赔偿数额，按照权利人因被侵权所受到的实际损失确定；实际损失难以确定的，可以按照侵权人因侵权所获得的利益确定；权利人的损失或者侵权人获得的利益难以确定的，参照该商标许可使用费的倍数合理确定。对恶意侵犯商标专用权，情节严重的，可以在按照上述方法确定数额的一倍以上五倍以下确定赔偿数额。赔偿数额应当包括权利人为制止侵权行为所支付的合理开支……权利人因被侵权所受到的实际损失、侵权人因侵权所获得的利益、注册商标许可使用费难以确定的，由人民法院根据侵权行为的情节判决给予五百万元以下的赔偿。”</w:t>
            </w:r>
          </w:p>
        </w:tc>
      </w:tr>
      <w:tr w14:paraId="794C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18EFD1A">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条</w:t>
            </w:r>
          </w:p>
          <w:p w14:paraId="577690C6">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w:t>
            </w:r>
            <w:r>
              <w:rPr>
                <w:rFonts w:hint="eastAsia" w:ascii="方正仿宋_GB2312" w:hAnsi="方正仿宋_GB2312" w:eastAsia="方正仿宋_GB2312" w:cs="方正仿宋_GB2312"/>
                <w:b/>
                <w:bCs/>
              </w:rPr>
              <w:t>款</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0CC3854">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“在中华人民共和国境内，商品经营者或者服务提供者通过一定媒介和形式直接或者间接地介绍自己所推销的商品或者服务的商业广告活动，适用本法。”</w:t>
            </w:r>
          </w:p>
        </w:tc>
      </w:tr>
      <w:tr w14:paraId="0331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6BDB6E30">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《中华人民共和国广告法》第</w:t>
            </w:r>
            <w:r>
              <w:rPr>
                <w:rFonts w:hint="eastAsia" w:ascii="方正仿宋_GB2312" w:hAnsi="方正仿宋_GB2312" w:eastAsia="方正仿宋_GB2312" w:cs="方正仿宋_GB2312"/>
                <w:b/>
                <w:bCs/>
                <w:lang w:val="en-US" w:eastAsia="zh-CN"/>
              </w:rPr>
              <w:t>3</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B07DDD0">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“广告应当真实、合法，以健康的表现形式表达广告内容，符合社会主义精神文明建设和弘扬中华民族优秀传统文化的要求。”</w:t>
            </w:r>
          </w:p>
        </w:tc>
      </w:tr>
      <w:tr w14:paraId="4EE4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75A9B67">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《中华人民共和国广告法》第</w:t>
            </w:r>
            <w:r>
              <w:rPr>
                <w:rFonts w:hint="eastAsia" w:ascii="方正仿宋_GB2312" w:hAnsi="方正仿宋_GB2312" w:eastAsia="方正仿宋_GB2312" w:cs="方正仿宋_GB2312"/>
                <w:b/>
                <w:bCs/>
                <w:lang w:val="en-US" w:eastAsia="zh-CN"/>
              </w:rPr>
              <w:t>4</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2BCAF7F">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“广告不得含有虚假或者引人误解的内容，不得欺骗、误导消费者。</w:t>
            </w:r>
          </w:p>
          <w:p w14:paraId="1D98C688">
            <w:pPr>
              <w:ind w:firstLine="210" w:firstLineChars="100"/>
              <w:rPr>
                <w:rFonts w:hint="eastAsia" w:ascii="方正仿宋_GB2312" w:hAnsi="方正仿宋_GB2312" w:eastAsia="方正仿宋_GB2312" w:cs="方正仿宋_GB2312"/>
              </w:rPr>
            </w:pPr>
            <w:bookmarkStart w:id="2" w:name="tiao_4_kuan_2"/>
            <w:bookmarkEnd w:id="2"/>
            <w:r>
              <w:rPr>
                <w:rFonts w:hint="eastAsia" w:ascii="方正仿宋_GB2312" w:hAnsi="方正仿宋_GB2312" w:eastAsia="方正仿宋_GB2312" w:cs="方正仿宋_GB2312"/>
              </w:rPr>
              <w:t>广告主应当对广告内容的真实性负责。”</w:t>
            </w:r>
          </w:p>
        </w:tc>
      </w:tr>
      <w:tr w14:paraId="029C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37FC5D9">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《中华人民共和国广告法》第</w:t>
            </w:r>
            <w:r>
              <w:rPr>
                <w:rFonts w:hint="eastAsia" w:ascii="方正仿宋_GB2312" w:hAnsi="方正仿宋_GB2312" w:eastAsia="方正仿宋_GB2312" w:cs="方正仿宋_GB2312"/>
                <w:b/>
                <w:bCs/>
                <w:lang w:val="en-US" w:eastAsia="zh-CN"/>
              </w:rPr>
              <w:t>5</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E0810E6">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“广告主、广告经营者、广告发布者从事广告活动，应当遵守法律、法规，诚实信用，公平竞争。”</w:t>
            </w:r>
          </w:p>
        </w:tc>
      </w:tr>
      <w:tr w14:paraId="388C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210235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w:t>
            </w:r>
          </w:p>
          <w:p w14:paraId="14CE586B">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11</w:t>
            </w:r>
            <w:r>
              <w:rPr>
                <w:rFonts w:hint="eastAsia" w:ascii="方正仿宋_GB2312" w:hAnsi="方正仿宋_GB2312" w:eastAsia="方正仿宋_GB2312" w:cs="方正仿宋_GB2312"/>
                <w:b/>
                <w:bCs/>
              </w:rPr>
              <w:t>条</w:t>
            </w:r>
          </w:p>
          <w:p w14:paraId="2B6DA34C">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款</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46C97EF">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“广告使用数据、统计资料、调查结果、文摘、引用语等引证内容的，应当真实、准确，并表明出处。引证内容有适用范围和有效期限的，应当明确表示。”</w:t>
            </w:r>
          </w:p>
        </w:tc>
      </w:tr>
      <w:tr w14:paraId="425F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069355DF">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《中华人民共和国商标法》第</w:t>
            </w:r>
            <w:r>
              <w:rPr>
                <w:rFonts w:hint="eastAsia" w:ascii="方正仿宋_GB2312" w:hAnsi="方正仿宋_GB2312" w:eastAsia="方正仿宋_GB2312" w:cs="方正仿宋_GB2312"/>
                <w:b/>
                <w:bCs/>
                <w:lang w:val="en-US" w:eastAsia="zh-CN"/>
              </w:rPr>
              <w:t>58</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782617E3">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“将他人注册商标、未注册的驰名商标作为企业名称中的字号使用，误导公众，构成不正当竞争行为的，依照《中华人民共和国反不正当竞争法》处理。”</w:t>
            </w:r>
          </w:p>
        </w:tc>
      </w:tr>
      <w:tr w14:paraId="2447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E3870BB">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《中华人民共和国广告法》第</w:t>
            </w:r>
            <w:r>
              <w:rPr>
                <w:rFonts w:hint="eastAsia" w:ascii="方正仿宋_GB2312" w:hAnsi="方正仿宋_GB2312" w:eastAsia="方正仿宋_GB2312" w:cs="方正仿宋_GB2312"/>
                <w:b/>
                <w:bCs/>
                <w:lang w:val="en-US" w:eastAsia="zh-CN"/>
              </w:rPr>
              <w:t>28</w:t>
            </w:r>
            <w:r>
              <w:rPr>
                <w:rFonts w:hint="eastAsia" w:ascii="方正仿宋_GB2312" w:hAnsi="方正仿宋_GB2312" w:eastAsia="方正仿宋_GB2312" w:cs="方正仿宋_GB2312"/>
                <w:b/>
                <w:bCs/>
              </w:rPr>
              <w:t>条</w:t>
            </w:r>
          </w:p>
          <w:p w14:paraId="082BACF8">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款</w:t>
            </w:r>
          </w:p>
          <w:p w14:paraId="7999D13B">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2</w:t>
            </w:r>
            <w:r>
              <w:rPr>
                <w:rFonts w:hint="eastAsia" w:ascii="方正仿宋_GB2312" w:hAnsi="方正仿宋_GB2312" w:eastAsia="方正仿宋_GB2312" w:cs="方正仿宋_GB2312"/>
                <w:b/>
                <w:bCs/>
              </w:rPr>
              <w:t>项</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1C2E9C1C">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“广告有下列情形之一的，为虚假广告：</w:t>
            </w:r>
            <w:bookmarkStart w:id="3" w:name="tiao_28_kuan_2_xiang_1"/>
            <w:bookmarkEnd w:id="3"/>
            <w:bookmarkStart w:id="4" w:name="tiao_28_kuan_2_xiang_2"/>
            <w:bookmarkEnd w:id="4"/>
            <w:r>
              <w:rPr>
                <w:rFonts w:hint="eastAsia" w:ascii="方正仿宋_GB2312" w:hAnsi="方正仿宋_GB2312" w:eastAsia="方正仿宋_GB2312" w:cs="方正仿宋_GB2312"/>
              </w:rPr>
              <w:t>……（二）商品的性能、功能、产地、用途、质量、规格、成分、价格、生产者、有效期限、销售状况、曾获荣誉等信息，或者服务的内容、提供者、形式、质量、价格、销售状况、曾获荣誉等信息，以及与商品或者服务有关的允诺等信息与实际情况不符，对购买行为有实质性影响的；”</w:t>
            </w:r>
          </w:p>
        </w:tc>
      </w:tr>
      <w:tr w14:paraId="4B56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4AB029ED">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《中华人民共和国反不正当竞争法》</w:t>
            </w:r>
          </w:p>
          <w:p w14:paraId="47AB4D09">
            <w:pPr>
              <w:jc w:val="center"/>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第</w:t>
            </w:r>
            <w:r>
              <w:rPr>
                <w:rFonts w:hint="eastAsia" w:ascii="方正仿宋_GB2312" w:hAnsi="方正仿宋_GB2312" w:eastAsia="方正仿宋_GB2312" w:cs="方正仿宋_GB2312"/>
                <w:b/>
                <w:bCs/>
                <w:lang w:val="en-US" w:eastAsia="zh-CN"/>
              </w:rPr>
              <w:t>12</w:t>
            </w:r>
            <w:r>
              <w:rPr>
                <w:rFonts w:hint="eastAsia" w:ascii="方正仿宋_GB2312" w:hAnsi="方正仿宋_GB2312" w:eastAsia="方正仿宋_GB2312" w:cs="方正仿宋_GB2312"/>
                <w:b/>
                <w:bCs/>
              </w:rPr>
              <w:t>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FFFFFF"/>
            <w:tcMar>
              <w:left w:w="108" w:type="dxa"/>
              <w:right w:w="108" w:type="dxa"/>
            </w:tcMar>
            <w:vAlign w:val="center"/>
          </w:tcPr>
          <w:p w14:paraId="527F170F">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“经营者不得编造、传播或者指使他人编造、传播虚假信息或者误导性信息，损害其他经营者的商业信誉、商品声誉。”</w:t>
            </w:r>
          </w:p>
        </w:tc>
      </w:tr>
      <w:tr w14:paraId="669D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303F7077">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中华人民共和国消费者权益保护法</w:t>
            </w:r>
            <w:r>
              <w:rPr>
                <w:rFonts w:hint="eastAsia" w:ascii="方正仿宋_GB2312" w:hAnsi="方正仿宋_GB2312" w:eastAsia="方正仿宋_GB2312" w:cs="方正仿宋_GB2312"/>
                <w:b/>
                <w:bCs/>
                <w:vertAlign w:val="baseline"/>
                <w:lang w:eastAsia="zh-CN"/>
              </w:rPr>
              <w:t>》</w:t>
            </w:r>
          </w:p>
          <w:p w14:paraId="367D02A6">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第2条</w:t>
            </w:r>
          </w:p>
        </w:tc>
        <w:tc>
          <w:tcPr>
            <w:tcW w:w="4085" w:type="pct"/>
            <w:gridSpan w:val="4"/>
            <w:vAlign w:val="center"/>
          </w:tcPr>
          <w:p w14:paraId="3B7C5472">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“消费者为生活消费需要购买、使用商品或者接受服务，其权益受本法保护；本法未作规定的，受其他有关法律、法规保护”</w:t>
            </w:r>
          </w:p>
        </w:tc>
      </w:tr>
      <w:tr w14:paraId="2D15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23E71A08">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中华人民共和国消费者权益保护法</w:t>
            </w:r>
            <w:r>
              <w:rPr>
                <w:rFonts w:hint="eastAsia" w:ascii="方正仿宋_GB2312" w:hAnsi="方正仿宋_GB2312" w:eastAsia="方正仿宋_GB2312" w:cs="方正仿宋_GB2312"/>
                <w:b/>
                <w:bCs/>
                <w:vertAlign w:val="baseline"/>
                <w:lang w:eastAsia="zh-CN"/>
              </w:rPr>
              <w:t>》</w:t>
            </w:r>
          </w:p>
          <w:p w14:paraId="1999910B">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第55条</w:t>
            </w:r>
          </w:p>
        </w:tc>
        <w:tc>
          <w:tcPr>
            <w:tcW w:w="4085" w:type="pct"/>
            <w:gridSpan w:val="4"/>
            <w:vAlign w:val="center"/>
          </w:tcPr>
          <w:p w14:paraId="02CCCA52">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经营者提供商品或者服务有欺诈行为的，应当按照消费者的要求增加赔偿其受到的损失，增加赔偿的金额为消费者购买商品的价款或者接受服务的费用的三倍；增加赔偿的金额不足五百元的，为五百元。法律另有规定的，依照其规定。</w:t>
            </w:r>
          </w:p>
          <w:p w14:paraId="377035F1">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经营者明知商品或者服务存在缺陷，仍然向消费者提供，造成消费者或者其他受害人死亡或者健康严重损害的，受害人有权要求经营者依照本法第四十九条、第五十一条等法律规定赔偿损失，并有权要求所受损失二倍以下的惩罚性赔偿。”</w:t>
            </w:r>
          </w:p>
        </w:tc>
      </w:tr>
      <w:tr w14:paraId="0F2A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919B38F">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3D83BA55">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第3条</w:t>
            </w:r>
          </w:p>
        </w:tc>
        <w:tc>
          <w:tcPr>
            <w:tcW w:w="4085" w:type="pct"/>
            <w:gridSpan w:val="4"/>
            <w:vAlign w:val="center"/>
          </w:tcPr>
          <w:p w14:paraId="147E237C">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w:t>
            </w:r>
            <w:r>
              <w:rPr>
                <w:rFonts w:hint="eastAsia" w:ascii="方正仿宋_GB2312" w:hAnsi="方正仿宋_GB2312" w:eastAsia="方正仿宋_GB2312" w:cs="方正仿宋_GB2312"/>
                <w:vertAlign w:val="baseline"/>
              </w:rPr>
              <w:t>食品生产经营者应当依照法律、法规和食品安全标准从事生产经营活动，对社会和公众负责，保证食品安全，接受社会监督，承担社会责任。</w:t>
            </w:r>
            <w:r>
              <w:rPr>
                <w:rFonts w:hint="eastAsia" w:ascii="方正仿宋_GB2312" w:hAnsi="方正仿宋_GB2312" w:eastAsia="方正仿宋_GB2312" w:cs="方正仿宋_GB2312"/>
                <w:vertAlign w:val="baseline"/>
                <w:lang w:eastAsia="zh-CN"/>
              </w:rPr>
              <w:t>”</w:t>
            </w:r>
          </w:p>
        </w:tc>
      </w:tr>
      <w:tr w14:paraId="5E0B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41C1EE18">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0B63E7C3">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第26条</w:t>
            </w:r>
          </w:p>
        </w:tc>
        <w:tc>
          <w:tcPr>
            <w:tcW w:w="4085" w:type="pct"/>
            <w:gridSpan w:val="4"/>
            <w:vAlign w:val="center"/>
          </w:tcPr>
          <w:p w14:paraId="1321953A">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“第二十六条 食品安全标准应当包括下列内容：</w:t>
            </w:r>
          </w:p>
          <w:p w14:paraId="0A6A75BB">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（一）食品、食品添加剂、食品相关产品中的致病性微生物，农药残留、兽药残留、生物毒素、重金属等污染物质以及其他危害人体健康物质的限量规定；</w:t>
            </w:r>
          </w:p>
          <w:p w14:paraId="19A093A8">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（二）食品添加剂的品种、使用范围、用量；</w:t>
            </w:r>
          </w:p>
          <w:p w14:paraId="3BD96B82">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（三）专供婴幼儿和其他特定人群的主辅食品的营养成分要求；</w:t>
            </w:r>
          </w:p>
          <w:p w14:paraId="1BAA0F31">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（四）对与卫生、营养等食品安全要求有关的标签、标志、说明书的要求；</w:t>
            </w:r>
          </w:p>
          <w:p w14:paraId="066BE3C7">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（五）食品生产经营过程的卫生要求；</w:t>
            </w:r>
          </w:p>
          <w:p w14:paraId="2FF2085B">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（六）与食品安全有关的质量要求；</w:t>
            </w:r>
          </w:p>
          <w:p w14:paraId="5661530B">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（七）与食品安全有关的食品检验方法与规程；</w:t>
            </w:r>
          </w:p>
          <w:p w14:paraId="05AC97DC">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（八）其他需要制定为食品安全标准的内容。”</w:t>
            </w:r>
          </w:p>
        </w:tc>
      </w:tr>
      <w:tr w14:paraId="098A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310A35B7">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41B3EAE9">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第28条</w:t>
            </w:r>
          </w:p>
          <w:p w14:paraId="3577B279">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第8项</w:t>
            </w:r>
          </w:p>
        </w:tc>
        <w:tc>
          <w:tcPr>
            <w:tcW w:w="4085" w:type="pct"/>
            <w:gridSpan w:val="4"/>
            <w:vAlign w:val="center"/>
          </w:tcPr>
          <w:p w14:paraId="14AD4082">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“禁止生产经营下列食品：</w:t>
            </w:r>
          </w:p>
          <w:p w14:paraId="2D3F0865">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（八）超过保质期的食品；”</w:t>
            </w:r>
          </w:p>
        </w:tc>
      </w:tr>
      <w:tr w14:paraId="44C6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115A1D29">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2414CC8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第34条</w:t>
            </w:r>
          </w:p>
          <w:p w14:paraId="1B4F1793">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第10项</w:t>
            </w:r>
          </w:p>
        </w:tc>
        <w:tc>
          <w:tcPr>
            <w:tcW w:w="4085" w:type="pct"/>
            <w:gridSpan w:val="4"/>
            <w:vAlign w:val="center"/>
          </w:tcPr>
          <w:p w14:paraId="1C754485">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“第三十四条 禁止生产经营下列食品、食品添加剂、食品相关产品：</w:t>
            </w:r>
          </w:p>
          <w:p w14:paraId="724B2A33">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（十）标注虚假生产日期、保质期或者超过保质期的食品、食品添加剂；”</w:t>
            </w:r>
          </w:p>
        </w:tc>
      </w:tr>
      <w:tr w14:paraId="7C7C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2F57844E">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2AC9DA20">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第34条</w:t>
            </w:r>
          </w:p>
          <w:p w14:paraId="07B781DF">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第13项</w:t>
            </w:r>
          </w:p>
        </w:tc>
        <w:tc>
          <w:tcPr>
            <w:tcW w:w="4085" w:type="pct"/>
            <w:gridSpan w:val="4"/>
            <w:vAlign w:val="center"/>
          </w:tcPr>
          <w:p w14:paraId="44747B9A">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“禁止生产经营下列食品、食品添加剂、食品相关产品：</w:t>
            </w:r>
          </w:p>
          <w:p w14:paraId="5C777BD0">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（十三）其他不符合法律、法规或者食品安全标准的食品、食品添加剂、食品相关产品。”</w:t>
            </w:r>
          </w:p>
        </w:tc>
      </w:tr>
      <w:tr w14:paraId="3BC6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7C5F4B7C">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33A8D462">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第38条</w:t>
            </w:r>
          </w:p>
        </w:tc>
        <w:tc>
          <w:tcPr>
            <w:tcW w:w="4085" w:type="pct"/>
            <w:gridSpan w:val="4"/>
            <w:vAlign w:val="center"/>
          </w:tcPr>
          <w:p w14:paraId="1F8C9189">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“生产经营的食品中不得添加药品，但是可以添加按照传统既是食品又是中药材的物质。按照传统既是食品又是中药材的物质目录由国务院卫生行政部门会同国务院食品安全监督管理部门制定、公布。”</w:t>
            </w:r>
          </w:p>
        </w:tc>
      </w:tr>
      <w:tr w14:paraId="4B93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6D3AF641">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545D4CED">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第67条</w:t>
            </w:r>
          </w:p>
        </w:tc>
        <w:tc>
          <w:tcPr>
            <w:tcW w:w="4085" w:type="pct"/>
            <w:gridSpan w:val="4"/>
            <w:vAlign w:val="center"/>
          </w:tcPr>
          <w:p w14:paraId="44D0FC64">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“预包装食品的包装上应当有标签。标签应当标明下列事项：</w:t>
            </w:r>
          </w:p>
          <w:p w14:paraId="3D543BE2">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（一）名称、规格、净含量、生产日期；</w:t>
            </w:r>
          </w:p>
          <w:p w14:paraId="22B1FD40">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（二）成分或者配料表；</w:t>
            </w:r>
          </w:p>
          <w:p w14:paraId="02BAC886">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（三）生产者的名称、地址、联系方式；</w:t>
            </w:r>
          </w:p>
          <w:p w14:paraId="62C3EF58">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（四）保质期；</w:t>
            </w:r>
          </w:p>
          <w:p w14:paraId="4DB04FFF">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（五）产品标准代号；</w:t>
            </w:r>
          </w:p>
          <w:p w14:paraId="12207E3D">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（六）贮存条件；</w:t>
            </w:r>
          </w:p>
          <w:p w14:paraId="002D46E1">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（七）所使用的食品添加剂在国家标准中的通用名称；</w:t>
            </w:r>
          </w:p>
          <w:p w14:paraId="0003E3F0">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（八）生产许可证编号；</w:t>
            </w:r>
          </w:p>
          <w:p w14:paraId="5BFCCAD4">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（九）法律、法规或者食品安全标准规定应当标明的其他事项。</w:t>
            </w:r>
          </w:p>
          <w:p w14:paraId="0E94A577">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专供婴幼儿和其他特定人群的主辅食品，其标签还应当标明主要营养成分及其含量。</w:t>
            </w:r>
          </w:p>
          <w:p w14:paraId="173FAA4F">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食品安全国家标准对标签标注事项另有规定的，从其规定。”</w:t>
            </w:r>
          </w:p>
        </w:tc>
      </w:tr>
      <w:tr w14:paraId="47B5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3EB9AE18">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2DF7A61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第68条</w:t>
            </w:r>
          </w:p>
        </w:tc>
        <w:tc>
          <w:tcPr>
            <w:tcW w:w="4085" w:type="pct"/>
            <w:gridSpan w:val="4"/>
            <w:vAlign w:val="center"/>
          </w:tcPr>
          <w:p w14:paraId="60F496DC">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“食品经营者销售散装食品，应当在散装食品的容器、外包装上标明食品的名称、生产日期或者生产批号、保质期以及生产经营者名称、地址、联系方式等内容。”</w:t>
            </w:r>
          </w:p>
        </w:tc>
      </w:tr>
      <w:tr w14:paraId="30BC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95EEB44">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32EC6FAB">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第96条</w:t>
            </w:r>
          </w:p>
        </w:tc>
        <w:tc>
          <w:tcPr>
            <w:tcW w:w="4085" w:type="pct"/>
            <w:gridSpan w:val="4"/>
            <w:vAlign w:val="center"/>
          </w:tcPr>
          <w:p w14:paraId="3F1E8061">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“违反本法规定，造成人身、财产或者其他损害的，依法承担赔偿责任。</w:t>
            </w:r>
          </w:p>
          <w:p w14:paraId="7C185585">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生产不符合食品安全标准的食品或者销售明知是不符合食品安全标准的食品，消费者除要求赔偿损失外，还可以向生产者或者销售者要求支付价款十倍的赔偿金。”</w:t>
            </w:r>
          </w:p>
        </w:tc>
      </w:tr>
      <w:tr w14:paraId="3319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23F1D1E">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7DBC2F90">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第99条</w:t>
            </w:r>
          </w:p>
        </w:tc>
        <w:tc>
          <w:tcPr>
            <w:tcW w:w="4085" w:type="pct"/>
            <w:gridSpan w:val="4"/>
            <w:vAlign w:val="center"/>
          </w:tcPr>
          <w:p w14:paraId="06DAA888">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“第九十九条 本法下列用语的含义：</w:t>
            </w:r>
          </w:p>
          <w:p w14:paraId="1AC675AE">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食品，指各种供人食用或者饮用的成品和原料以及按照传统既是食品又是药品的物品，但是不包括以治疗为目的的物品。</w:t>
            </w:r>
          </w:p>
          <w:p w14:paraId="75A2B5F1">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食品安全，指食品无毒、无害，符合应当有的营养要求，对人体健康不造成任何急性、亚急性或者慢性危害。</w:t>
            </w:r>
          </w:p>
          <w:p w14:paraId="49AAECDC">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预包装食品，指预先定量包装或者制作在包装材料和容器中的食品。</w:t>
            </w:r>
          </w:p>
          <w:p w14:paraId="12619AFD">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食品添加剂，指为改善食品品质和色、香、味以及为防腐、保鲜和加工工艺的需要而加入食品中的人工合成或者天然物质。</w:t>
            </w:r>
          </w:p>
          <w:p w14:paraId="3890C763">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用于食品的包装材料和容器，指包装、盛放食品或者食品添加剂用的纸、竹、木、金属、搪瓷、陶瓷、塑料、橡胶、天然纤维、化学纤维、玻璃等制品和直接接触食品或者食品添加剂的涂料。</w:t>
            </w:r>
          </w:p>
          <w:p w14:paraId="414CC095">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用于食品生产经营的工具、设备，指在食品或者食品添加剂生产、流通、使用过程中直接接触食品或者食品添加剂的机械、管道、传送带、容器、用具、餐具等。</w:t>
            </w:r>
          </w:p>
          <w:p w14:paraId="004C4C49">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用于食品的洗涤剂、消毒剂，指直接用于洗涤或者消毒食品、餐饮具以及直接接触食品的工具、设备或者食品包装材料和容器的物质。</w:t>
            </w:r>
          </w:p>
          <w:p w14:paraId="503EF00F">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保质期，指预包装食品在标签指明的贮存条件下保持品质的期限。</w:t>
            </w:r>
          </w:p>
          <w:p w14:paraId="528C4859">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食源性疾病，指食品中致病因素进入人体引起的感染性、中毒性等疾病。</w:t>
            </w:r>
          </w:p>
          <w:p w14:paraId="6A021E1A">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食物中毒，指食用了被有毒有害物质污染的食品或者食用了含有毒有害物质的食品后出现的急性、亚急性疾病。</w:t>
            </w:r>
          </w:p>
          <w:p w14:paraId="6829A9C3">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食品安全事故，指食物中毒、食源性疾病、食品污染等源于食品，对人体健康有危害或者可能有危害的事故。”</w:t>
            </w:r>
          </w:p>
        </w:tc>
      </w:tr>
      <w:tr w14:paraId="258E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798ED6D4">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688C06A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第124条</w:t>
            </w:r>
          </w:p>
          <w:p w14:paraId="19FFFDF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第1款</w:t>
            </w:r>
          </w:p>
          <w:p w14:paraId="590394AE">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第5项</w:t>
            </w:r>
          </w:p>
        </w:tc>
        <w:tc>
          <w:tcPr>
            <w:tcW w:w="4085" w:type="pct"/>
            <w:gridSpan w:val="4"/>
            <w:vAlign w:val="center"/>
          </w:tcPr>
          <w:p w14:paraId="174D7242">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违反本法规定，有下列情形之一，尚不构成犯罪的，由县级以上人民政府食品安全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w:t>
            </w:r>
          </w:p>
          <w:p w14:paraId="4E76328B">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（五）生产经营标注虚假生产日期、保质期或者超过保质期的食品、食品添加剂”</w:t>
            </w:r>
          </w:p>
        </w:tc>
      </w:tr>
      <w:tr w14:paraId="2D55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59038BC2">
            <w:pPr>
              <w:ind w:left="0" w:leftChars="0" w:firstLine="0" w:firstLineChars="0"/>
              <w:jc w:val="center"/>
              <w:rPr>
                <w:rFonts w:hint="eastAsia" w:ascii="方正仿宋_GB2312" w:hAnsi="方正仿宋_GB2312" w:eastAsia="方正仿宋_GB2312" w:cs="方正仿宋_GB2312"/>
                <w:b/>
                <w:bCs/>
                <w:vertAlign w:val="baseline"/>
                <w:lang w:eastAsia="zh-CN"/>
              </w:rPr>
            </w:pPr>
            <w:r>
              <w:rPr>
                <w:rFonts w:hint="eastAsia" w:ascii="方正仿宋_GB2312" w:hAnsi="方正仿宋_GB2312" w:eastAsia="方正仿宋_GB2312" w:cs="方正仿宋_GB2312"/>
                <w:b/>
                <w:bCs/>
                <w:vertAlign w:val="baseline"/>
                <w:lang w:eastAsia="zh-CN"/>
              </w:rPr>
              <w:t>《</w:t>
            </w:r>
            <w:r>
              <w:rPr>
                <w:rFonts w:hint="eastAsia" w:ascii="方正仿宋_GB2312" w:hAnsi="方正仿宋_GB2312" w:eastAsia="方正仿宋_GB2312" w:cs="方正仿宋_GB2312"/>
                <w:b/>
                <w:bCs/>
                <w:vertAlign w:val="baseline"/>
              </w:rPr>
              <w:t>中华人民共和国食品安全法</w:t>
            </w:r>
            <w:r>
              <w:rPr>
                <w:rFonts w:hint="eastAsia" w:ascii="方正仿宋_GB2312" w:hAnsi="方正仿宋_GB2312" w:eastAsia="方正仿宋_GB2312" w:cs="方正仿宋_GB2312"/>
                <w:b/>
                <w:bCs/>
                <w:vertAlign w:val="baseline"/>
                <w:lang w:eastAsia="zh-CN"/>
              </w:rPr>
              <w:t>》</w:t>
            </w:r>
          </w:p>
          <w:p w14:paraId="04D820B0">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第148条</w:t>
            </w:r>
          </w:p>
          <w:p w14:paraId="20B5B559">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第2款</w:t>
            </w:r>
          </w:p>
        </w:tc>
        <w:tc>
          <w:tcPr>
            <w:tcW w:w="4085" w:type="pct"/>
            <w:gridSpan w:val="4"/>
            <w:vAlign w:val="center"/>
          </w:tcPr>
          <w:p w14:paraId="082B8B2E">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生产不符合食品安全标准的食品或者经营明知是不符合食品安全标准的食品，消费者除要求赔偿损失外，还可以向生产者或者经营者要求支付价款十倍或者损失三倍的赔偿金；增加赔偿的金额不足一千元的，为一千元。但是，食品的标签、说明书存在不影响食品安全且不会对消费者造成误导的瑕疵的除外。”</w:t>
            </w:r>
          </w:p>
        </w:tc>
      </w:tr>
      <w:tr w14:paraId="0FFB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E082E8C">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《最高人民法院关于审理食品药品纠纷案件适用法律若干问题的规定》</w:t>
            </w:r>
          </w:p>
          <w:p w14:paraId="496B8E7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第3条</w:t>
            </w:r>
          </w:p>
        </w:tc>
        <w:tc>
          <w:tcPr>
            <w:tcW w:w="4085" w:type="pct"/>
            <w:gridSpan w:val="4"/>
            <w:vAlign w:val="center"/>
          </w:tcPr>
          <w:p w14:paraId="09AA106D">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“因食品、药品质量问题发生纠纷，购买者向生产者、销售者主张权利，生产者、销售者以购买者明知食品、药品存在质量问题而仍然购买为由进行抗辩的，人民法院不予支持。”</w:t>
            </w:r>
          </w:p>
        </w:tc>
      </w:tr>
      <w:tr w14:paraId="102E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55506FE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《最高人民法院关于审理食品药品纠纷案件适用法律若干问题的规定》</w:t>
            </w:r>
          </w:p>
          <w:p w14:paraId="191E629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第6条</w:t>
            </w:r>
          </w:p>
        </w:tc>
        <w:tc>
          <w:tcPr>
            <w:tcW w:w="4085" w:type="pct"/>
            <w:gridSpan w:val="4"/>
            <w:vAlign w:val="center"/>
          </w:tcPr>
          <w:p w14:paraId="4F1F0668">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食品的生产者与销售者应当对于食品符合质量标准承担举证责任。认定食品是否安全，应当以国家标准为依据；对地方特色食品，没有国家标准的，应当以地方标准为依据。没有前述标准的，应当以食品安全法的相关规定为依据。”</w:t>
            </w:r>
          </w:p>
        </w:tc>
      </w:tr>
      <w:tr w14:paraId="398E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5600054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《最高人民法院关于审理食品药品纠纷案件适用法律若干问题的规定》</w:t>
            </w:r>
          </w:p>
          <w:p w14:paraId="5AF83EF5">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第12条</w:t>
            </w:r>
          </w:p>
          <w:p w14:paraId="51C29576">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第2款</w:t>
            </w:r>
          </w:p>
        </w:tc>
        <w:tc>
          <w:tcPr>
            <w:tcW w:w="4085" w:type="pct"/>
            <w:gridSpan w:val="4"/>
            <w:vAlign w:val="center"/>
          </w:tcPr>
          <w:p w14:paraId="1C2A67D0">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“人民法院可以综合保质期、普通消费者通常消费习惯等因素认定购买者合理生活消费需要的食品数量。”</w:t>
            </w:r>
          </w:p>
        </w:tc>
      </w:tr>
      <w:tr w14:paraId="7712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54C18F3">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《最高人民法院关于审理食品药品纠纷案件适用法律若干问题的规定》</w:t>
            </w:r>
          </w:p>
          <w:p w14:paraId="3922141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第18条</w:t>
            </w:r>
          </w:p>
        </w:tc>
        <w:tc>
          <w:tcPr>
            <w:tcW w:w="4085" w:type="pct"/>
            <w:gridSpan w:val="4"/>
            <w:vAlign w:val="center"/>
          </w:tcPr>
          <w:p w14:paraId="1C0F390F">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“人民法院在审理食品药品纠纷案件过程中，发现违法生产、销售、使用食品、药品行为的，可以向有关行政机关、生产者或者经营者发出司法建议。”</w:t>
            </w:r>
          </w:p>
        </w:tc>
      </w:tr>
      <w:tr w14:paraId="6358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61725DFA">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《最高人民法院关于审理食品安全民事纠纷案件适用法律若干问题的解释（一）》</w:t>
            </w:r>
          </w:p>
          <w:p w14:paraId="35A64AA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第1条</w:t>
            </w:r>
          </w:p>
        </w:tc>
        <w:tc>
          <w:tcPr>
            <w:tcW w:w="4085" w:type="pct"/>
            <w:gridSpan w:val="4"/>
            <w:vAlign w:val="center"/>
          </w:tcPr>
          <w:p w14:paraId="5A825D05">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消费者因不符合食品安全标准的食品受到损害，依据食品安全法第一百四十八条第一款规定诉请食品生产者或者经营者赔偿损失，被诉的生产者或者经营者以赔偿责任应由生产经营者中的另一方承担为由主张免责的，人民法院不予支持。属于生产者责任的，经营者赔偿后有权向生产者追偿；属于经营者责任的，生产者赔偿后有权向经营者追偿。”</w:t>
            </w:r>
          </w:p>
        </w:tc>
      </w:tr>
      <w:tr w14:paraId="79EA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4B969EA5">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《最高人民法院关于审理食品安全民事纠纷案件适用法律若干问题的解释（一）》</w:t>
            </w:r>
          </w:p>
          <w:p w14:paraId="4E4BBFCA">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第11条</w:t>
            </w:r>
          </w:p>
        </w:tc>
        <w:tc>
          <w:tcPr>
            <w:tcW w:w="4085" w:type="pct"/>
            <w:gridSpan w:val="4"/>
            <w:vAlign w:val="center"/>
          </w:tcPr>
          <w:p w14:paraId="1B66F908">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生产经营未标明生产者名称、地址、成分或者配料表，或者未清晰标明生产日期、保质期的预包装食品，消费者主张生产者或者经营者依据食品安全法第一百四十八条第二款规定承担惩罚性赔偿责任的，人民法院应予支持，但法律、行政法规、食品安全国家标准对标签标注事项另有规定的除外。”</w:t>
            </w:r>
          </w:p>
        </w:tc>
      </w:tr>
      <w:tr w14:paraId="1817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trPr>
        <w:tc>
          <w:tcPr>
            <w:tcW w:w="914" w:type="pct"/>
            <w:gridSpan w:val="3"/>
            <w:vAlign w:val="center"/>
          </w:tcPr>
          <w:p w14:paraId="6493FCEE">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090F733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第3条</w:t>
            </w:r>
          </w:p>
          <w:p w14:paraId="67D2D6E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第3款</w:t>
            </w:r>
          </w:p>
        </w:tc>
        <w:tc>
          <w:tcPr>
            <w:tcW w:w="4085" w:type="pct"/>
            <w:gridSpan w:val="4"/>
            <w:vAlign w:val="center"/>
          </w:tcPr>
          <w:p w14:paraId="16BBFA99">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本法所称证明商标，是指由对某种商品或者服务具有监督能力的组织所控制，而由该组织以外的单位或者个人使用于其商品或者服务，用以证明该商品或者服务的原产地、原料、制造方法、质量或者其他特定品质的标志。”</w:t>
            </w:r>
          </w:p>
        </w:tc>
      </w:tr>
      <w:tr w14:paraId="0EC3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trPr>
        <w:tc>
          <w:tcPr>
            <w:tcW w:w="914" w:type="pct"/>
            <w:gridSpan w:val="3"/>
            <w:vAlign w:val="center"/>
          </w:tcPr>
          <w:p w14:paraId="761FA0AE">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50B4A9FE">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第16条</w:t>
            </w:r>
          </w:p>
          <w:p w14:paraId="25FF6EE3">
            <w:pPr>
              <w:ind w:left="0" w:leftChars="0" w:firstLine="0" w:firstLineChars="0"/>
              <w:jc w:val="center"/>
              <w:rPr>
                <w:rFonts w:hint="eastAsia" w:ascii="方正仿宋_GB2312" w:hAnsi="方正仿宋_GB2312" w:eastAsia="方正仿宋_GB2312" w:cs="方正仿宋_GB2312"/>
                <w:b/>
                <w:bCs/>
                <w:vertAlign w:val="baseline"/>
                <w:lang w:val="en-US" w:eastAsia="zh-CN"/>
              </w:rPr>
            </w:pPr>
          </w:p>
        </w:tc>
        <w:tc>
          <w:tcPr>
            <w:tcW w:w="4085" w:type="pct"/>
            <w:gridSpan w:val="4"/>
            <w:vAlign w:val="center"/>
          </w:tcPr>
          <w:p w14:paraId="7C67BCB5">
            <w:pPr>
              <w:ind w:left="0" w:leftChars="0" w:firstLine="0" w:firstLineChars="0"/>
              <w:jc w:val="both"/>
              <w:rPr>
                <w:rFonts w:hint="eastAsia" w:ascii="方正仿宋_GB2312" w:hAnsi="方正仿宋_GB2312" w:eastAsia="方正仿宋_GB2312" w:cs="方正仿宋_GB2312"/>
                <w:vertAlign w:val="baseline"/>
                <w:lang w:val="en-US" w:eastAsia="zh-CN"/>
              </w:rPr>
            </w:pPr>
            <w:r>
              <w:rPr>
                <w:rFonts w:hint="eastAsia" w:ascii="方正仿宋_GB2312" w:hAnsi="方正仿宋_GB2312" w:eastAsia="方正仿宋_GB2312" w:cs="方正仿宋_GB2312"/>
                <w:vertAlign w:val="baseline"/>
                <w:lang w:eastAsia="zh-CN"/>
              </w:rPr>
              <w:t>“商标中有商品的地理标志，而该商品并非来源于该标志所标示的地区，误导公众的，不予注册并禁止使用；但是，已经善意取得注册的继续有效</w:t>
            </w:r>
            <w:r>
              <w:rPr>
                <w:rFonts w:hint="eastAsia" w:ascii="方正仿宋_GB2312" w:hAnsi="方正仿宋_GB2312" w:eastAsia="方正仿宋_GB2312" w:cs="方正仿宋_GB2312"/>
                <w:vertAlign w:val="baseline"/>
                <w:lang w:val="en-US" w:eastAsia="zh-CN"/>
              </w:rPr>
              <w:t>.</w:t>
            </w:r>
          </w:p>
          <w:p w14:paraId="3DC7FC00">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前款所称地理标志，是指标示某商品来源于某地区，该商品的特定质量、信誉或者其他特征，主要由该地区的自然因素或者人文因素所决定的标志。”</w:t>
            </w:r>
          </w:p>
        </w:tc>
      </w:tr>
      <w:tr w14:paraId="5F96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trPr>
        <w:tc>
          <w:tcPr>
            <w:tcW w:w="914" w:type="pct"/>
            <w:gridSpan w:val="3"/>
            <w:vAlign w:val="center"/>
          </w:tcPr>
          <w:p w14:paraId="5751FB1F">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41DB2494">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第48条</w:t>
            </w:r>
          </w:p>
        </w:tc>
        <w:tc>
          <w:tcPr>
            <w:tcW w:w="4085" w:type="pct"/>
            <w:gridSpan w:val="4"/>
            <w:vAlign w:val="center"/>
          </w:tcPr>
          <w:p w14:paraId="2DE0FEFB">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“本法所称商标的使用，是指将商标用于商品、商品包装或者容器以及商品交易文书上，或者将商标用于广告宣传、展览以及其他商业活动中，用于识别商品来源的行为”</w:t>
            </w:r>
          </w:p>
        </w:tc>
      </w:tr>
      <w:tr w14:paraId="1F3A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trPr>
        <w:tc>
          <w:tcPr>
            <w:tcW w:w="914" w:type="pct"/>
            <w:gridSpan w:val="3"/>
            <w:vAlign w:val="center"/>
          </w:tcPr>
          <w:p w14:paraId="6530C69D">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7065E1D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第52条</w:t>
            </w:r>
          </w:p>
        </w:tc>
        <w:tc>
          <w:tcPr>
            <w:tcW w:w="4085" w:type="pct"/>
            <w:gridSpan w:val="4"/>
            <w:vAlign w:val="center"/>
          </w:tcPr>
          <w:p w14:paraId="72DA6E19">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将未注册商标冒充注册商标使用的，或者使用未注册商标违反本法第十条规定的，由地方工商行政管理部门予以制止，限期改正，并可以予以通报，违法经营额五万元以上的，可以处违法经营额百分之二十以下的罚款，没有违法经营额或者违法经营额不足五万元的，可以处一万元以下的罚款。”</w:t>
            </w:r>
          </w:p>
        </w:tc>
      </w:tr>
      <w:tr w14:paraId="4EA3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86E40F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10D6889A">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第56条</w:t>
            </w:r>
          </w:p>
        </w:tc>
        <w:tc>
          <w:tcPr>
            <w:tcW w:w="4085" w:type="pct"/>
            <w:gridSpan w:val="4"/>
            <w:vAlign w:val="center"/>
          </w:tcPr>
          <w:p w14:paraId="317EE15D">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“注册商标的专用权，以核准注册的商标和核定使用的商品为限。”</w:t>
            </w:r>
          </w:p>
        </w:tc>
      </w:tr>
      <w:tr w14:paraId="2BC8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7389994F">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3F1435A2">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第57条</w:t>
            </w:r>
          </w:p>
          <w:p w14:paraId="5AEBA4C4">
            <w:pPr>
              <w:ind w:left="0" w:leftChars="0" w:firstLine="0" w:firstLineChars="0"/>
              <w:jc w:val="center"/>
              <w:rPr>
                <w:rFonts w:hint="eastAsia" w:ascii="方正仿宋_GB2312" w:hAnsi="方正仿宋_GB2312" w:eastAsia="方正仿宋_GB2312" w:cs="方正仿宋_GB2312"/>
                <w:b/>
                <w:bCs/>
                <w:vertAlign w:val="baseline"/>
                <w:lang w:val="en-US" w:eastAsia="zh-CN"/>
              </w:rPr>
            </w:pPr>
          </w:p>
        </w:tc>
        <w:tc>
          <w:tcPr>
            <w:tcW w:w="4085" w:type="pct"/>
            <w:gridSpan w:val="4"/>
            <w:vAlign w:val="center"/>
          </w:tcPr>
          <w:p w14:paraId="759EF6BA">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“有下列行为之一的，均属侵犯注册商标专用权：</w:t>
            </w:r>
          </w:p>
          <w:p w14:paraId="2BF62AE8">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（一）未经商标注册人的许可，在同一种商品上使用与其注册商标相同的商标的；</w:t>
            </w:r>
          </w:p>
          <w:p w14:paraId="51EB2BAC">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（二）未经商标注册人的许可，在同一种商品上使用与其注册商标近似的商标，或者在类似商品上使用与其注册商标相同或者近似的商标，容易导致混淆的；</w:t>
            </w:r>
          </w:p>
          <w:p w14:paraId="762C79DD">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（三）销售侵犯注册商标专用权的商品的；</w:t>
            </w:r>
          </w:p>
          <w:p w14:paraId="62DD36F3">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（四）伪造、擅自制造他人注册商标标识或者销售伪造、擅自制造的注册商标标识的；</w:t>
            </w:r>
          </w:p>
          <w:p w14:paraId="4609918D">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（五）未经商标注册人同意，更换其注册商标并将该更换商标的商品又投入市场的；</w:t>
            </w:r>
          </w:p>
          <w:p w14:paraId="63EBF03A">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（六）故意为侵犯他人商标专用权行为提供便利条件，帮助他人实施侵犯商标专用权行为的；</w:t>
            </w:r>
          </w:p>
          <w:p w14:paraId="7722F3AF">
            <w:pPr>
              <w:ind w:left="0" w:leftChars="0" w:firstLine="48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（七）给他人的注册商标专用权造成其他损害的。”</w:t>
            </w:r>
          </w:p>
        </w:tc>
      </w:tr>
      <w:tr w14:paraId="56D8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39C818B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w:t>
            </w:r>
          </w:p>
          <w:p w14:paraId="766C7FB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第63条</w:t>
            </w:r>
          </w:p>
          <w:p w14:paraId="76E49F50">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第1款</w:t>
            </w:r>
          </w:p>
          <w:p w14:paraId="61770AE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第2款</w:t>
            </w:r>
          </w:p>
          <w:p w14:paraId="46E8B92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第3款</w:t>
            </w:r>
          </w:p>
        </w:tc>
        <w:tc>
          <w:tcPr>
            <w:tcW w:w="4085" w:type="pct"/>
            <w:gridSpan w:val="4"/>
            <w:vAlign w:val="center"/>
          </w:tcPr>
          <w:p w14:paraId="6E76FAAC">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侵犯商标专用权的赔偿数额，按照权利人因被侵权所受到的实际损失确定；实际损失难以确定的，可以按照侵权人因侵权所获得的利益确定；权利人的损失或者侵权人获得的利益难以确定的，参照该商标许可使用费的倍数合理确定。对恶意侵犯商标专用权，情节严重的，可以在按照上述方法确定数额的一倍以上五倍以下确定赔偿数额。赔偿数额应当包括权利人为制止侵权行为所支付的合理开支。</w:t>
            </w:r>
          </w:p>
          <w:p w14:paraId="03163981">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p w14:paraId="38C10367">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权利人因被侵权所受到的实际损失、侵权人因侵权所获得的利益、注册商标许可使用费难以确定的，由人民法院根据侵权行为的情节判决给予五百万元以下的赔偿。”</w:t>
            </w:r>
          </w:p>
        </w:tc>
      </w:tr>
      <w:tr w14:paraId="427D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18D2B1A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《中华人民共和国商标法实施条例》</w:t>
            </w:r>
          </w:p>
          <w:p w14:paraId="6EC39C7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第4条</w:t>
            </w:r>
          </w:p>
          <w:p w14:paraId="3D416FB5">
            <w:pPr>
              <w:ind w:left="0" w:leftChars="0" w:firstLine="0" w:firstLineChars="0"/>
              <w:jc w:val="center"/>
              <w:rPr>
                <w:rFonts w:hint="eastAsia" w:ascii="方正仿宋_GB2312" w:hAnsi="方正仿宋_GB2312" w:eastAsia="方正仿宋_GB2312" w:cs="方正仿宋_GB2312"/>
                <w:b/>
                <w:bCs/>
                <w:vertAlign w:val="baseline"/>
                <w:lang w:val="en-US" w:eastAsia="zh-CN"/>
              </w:rPr>
            </w:pPr>
          </w:p>
        </w:tc>
        <w:tc>
          <w:tcPr>
            <w:tcW w:w="4085" w:type="pct"/>
            <w:gridSpan w:val="4"/>
            <w:vAlign w:val="center"/>
          </w:tcPr>
          <w:p w14:paraId="68E5F52A">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“商标法第十六条规定的地理标志，可以依照商标法和本条例的规定，作为证明商标或者集体商标申请注册。</w:t>
            </w:r>
          </w:p>
          <w:p w14:paraId="44E32494">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以地理标志作为证明商标注册的，其商品符合使用该地理标志条件的自然人、法人或者其他组织可以要求使用该证明商标，控制该证明商标的组织应当允许。以地理标志作为集体商标注册的，其商品符合使用该地理标志条件的自然人、法人或者其他组织，可以要求参加以该地理标志作为集体商标注册的团体、协会或者其他组织，该团体、协会或者其他组织应当依据其章程接纳为会员；不要求参加以该地理标志作为集体商标注册的团体、协会或者其他组织的，也可以正当使用该地理标志，该团体、协会或者其他组织无权禁止。”</w:t>
            </w:r>
          </w:p>
        </w:tc>
      </w:tr>
      <w:tr w14:paraId="4911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081A923C">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《最高人民法院关于商标法修改决定施行后商标案件管辖和法律适用问题的解释》</w:t>
            </w:r>
          </w:p>
          <w:p w14:paraId="0A31E24F">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第7条</w:t>
            </w:r>
          </w:p>
        </w:tc>
        <w:tc>
          <w:tcPr>
            <w:tcW w:w="4085" w:type="pct"/>
            <w:gridSpan w:val="4"/>
            <w:vAlign w:val="center"/>
          </w:tcPr>
          <w:p w14:paraId="5AFD8E95">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对于在商标法修改决定施行前已经核准注册的商标，国家知识产权局于决定施行前受理、在决定施行后作出复审决定或者裁定，当事人提起行政诉讼的，人民法院审查相关程序问题适用修改后的商标法，审查实体问题适用修改前的商标法”</w:t>
            </w:r>
          </w:p>
        </w:tc>
      </w:tr>
      <w:tr w14:paraId="10DE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525DB088">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《最高人民法院关于审理商标民事纠纷案件适用法律若干问题的解释》</w:t>
            </w:r>
          </w:p>
          <w:p w14:paraId="31BB58F9">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第16条</w:t>
            </w:r>
          </w:p>
        </w:tc>
        <w:tc>
          <w:tcPr>
            <w:tcW w:w="4085" w:type="pct"/>
            <w:gridSpan w:val="4"/>
            <w:vAlign w:val="center"/>
          </w:tcPr>
          <w:p w14:paraId="4E6C3EDE">
            <w:pPr>
              <w:ind w:left="0" w:leftChars="0" w:firstLine="0" w:firstLineChars="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“权利人因被侵权所受到的实际损失、侵权人因侵权所获得的利益、注册商标使用许可费均难以确定的，人民法院可以根据当事人的请求或者依职权适用商标法第六十三条第三款的规定确定赔偿数额。</w:t>
            </w:r>
          </w:p>
          <w:p w14:paraId="7E3896CF">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人民法院在适用商标法第六十三条第三款规定确定赔偿数额时，应当考虑侵权行为的性质、期间、后果，侵权人的主观过错程度，商标的声誉及制止侵权行为的合理开支等因素综合确定。</w:t>
            </w:r>
          </w:p>
          <w:p w14:paraId="55B54855">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当事人按照本条第一款的规定就赔偿数额达成协议的，应当准许。”</w:t>
            </w:r>
          </w:p>
        </w:tc>
      </w:tr>
      <w:tr w14:paraId="49FC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2E0C1512">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《中华人民共和国海商法》第42条</w:t>
            </w:r>
          </w:p>
        </w:tc>
        <w:tc>
          <w:tcPr>
            <w:tcW w:w="4085" w:type="pct"/>
            <w:gridSpan w:val="4"/>
            <w:vAlign w:val="center"/>
          </w:tcPr>
          <w:p w14:paraId="2BBF0D66">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“船长在航行中死亡或者因故不能执行职务时，应当由驾驶员中职务最高的人代理船长职务；在下一个港口开航前，船舶所有人、船舶经营人或者船舶管理人应当指派新船长接任。”</w:t>
            </w:r>
          </w:p>
        </w:tc>
      </w:tr>
      <w:tr w14:paraId="63D7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vAlign w:val="center"/>
          </w:tcPr>
          <w:p w14:paraId="2101FA4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《中华人民共和国海商法》第76条</w:t>
            </w:r>
          </w:p>
        </w:tc>
        <w:tc>
          <w:tcPr>
            <w:tcW w:w="4085" w:type="pct"/>
            <w:gridSpan w:val="4"/>
            <w:vAlign w:val="center"/>
          </w:tcPr>
          <w:p w14:paraId="3E5D4F38">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承运人或者代其签发提单的人知道或者有合理的根据怀疑提单记载的货物的品名、标志、包数或者件数、重量或者体积与实际接收的货物不符，在签发已装船提单的情况下怀疑与已装船的货物不符，或者没有适当的方法核对提单记载的，可以在提单上批注，说明不符之处、怀疑的根据或者说明无法核对。”</w:t>
            </w:r>
          </w:p>
        </w:tc>
      </w:tr>
      <w:tr w14:paraId="1896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shd w:val="clear" w:color="auto" w:fill="auto"/>
            <w:vAlign w:val="center"/>
          </w:tcPr>
          <w:p w14:paraId="0A86087D">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w:t>
            </w:r>
          </w:p>
          <w:p w14:paraId="3FB34FDE">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vertAlign w:val="baseline"/>
                <w:lang w:val="en-US" w:eastAsia="zh-CN"/>
              </w:rPr>
              <w:t>第56条</w:t>
            </w:r>
          </w:p>
        </w:tc>
        <w:tc>
          <w:tcPr>
            <w:tcW w:w="4085" w:type="pct"/>
            <w:gridSpan w:val="4"/>
            <w:shd w:val="clear" w:color="auto" w:fill="auto"/>
            <w:vAlign w:val="center"/>
          </w:tcPr>
          <w:p w14:paraId="0A7E5E1E">
            <w:pPr>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个体工商户的债务，个人经营的，以个人财产承担；家庭经营的，以家庭财产承担；无法区分的，以家庭财产承担。农村承包经营户的债务，以从事农村土地承包经营的农户财产承担；事实上由农户部分成员经营的，以该部分成员的财产承担。”</w:t>
            </w:r>
          </w:p>
        </w:tc>
      </w:tr>
      <w:tr w14:paraId="2BBC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vAlign w:val="center"/>
          </w:tcPr>
          <w:p w14:paraId="391D46EC">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《中华人民共和国民法典》第465条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5F7A5ED8">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“同一动产上已经设立抵押权或者质权，该动产又被留置的，留置权人优先受偿。”</w:t>
            </w:r>
          </w:p>
        </w:tc>
      </w:tr>
      <w:tr w14:paraId="1AD1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8045D01">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《中华人民共和国民法典》第496条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01BC55A">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“格式条款是当事人为了重复使用而预先拟定，并在订立合同时未与对方协商的条款。</w:t>
            </w:r>
          </w:p>
          <w:p w14:paraId="6B3F7FEB">
            <w:pPr>
              <w:ind w:firstLine="420" w:firstLineChars="200"/>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采用格式条款订立合同的，提供格式条款的一方应当遵循公平原则确定当事人之间的权利和义务，并采取合理的方式提请对方注意免除或者限制其责任的条款，按照对方的要求，对该条款予以说明。格式条款是当事人为了重复使用而预先拟定，并在订立合同时未与对方协商的条款。”</w:t>
            </w:r>
          </w:p>
        </w:tc>
      </w:tr>
      <w:tr w14:paraId="4997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4E38E2A8">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《中华人民共和国民法典》第497条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72F4A256">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“有下列情形之一的，该格式条款无效：</w:t>
            </w:r>
          </w:p>
          <w:p w14:paraId="6FD0C3BA">
            <w:pPr>
              <w:ind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（一）具有本法第一编第六章第三节和本法第五百零六条规定的无效情形；</w:t>
            </w:r>
          </w:p>
          <w:p w14:paraId="42F78963">
            <w:pPr>
              <w:ind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（二）提供格式条款一方不合理地免除或者减轻其责任、加重对方责任、限制对方主要权利；</w:t>
            </w:r>
          </w:p>
          <w:p w14:paraId="3033850B">
            <w:pPr>
              <w:ind w:firstLine="420" w:firstLineChars="200"/>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（三）提供格式条款一方排除对方主要权利。”</w:t>
            </w:r>
          </w:p>
        </w:tc>
      </w:tr>
      <w:tr w14:paraId="68AE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FDC49E3">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《中华人民共和国民法典》第509条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60BA8DC5">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“当事人应当按照约定全面履行自己的义务。当事人应当遵循诚信原则，根据合同的性质、目的和交易习惯履行通知、协助、保密等义务。</w:t>
            </w:r>
          </w:p>
          <w:p w14:paraId="6E414DC1">
            <w:pPr>
              <w:ind w:firstLine="420" w:firstLineChars="200"/>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当事人在履行合同过程中，应当避免浪费资源、污染环境和破坏生态。”</w:t>
            </w:r>
          </w:p>
        </w:tc>
      </w:tr>
      <w:tr w14:paraId="5112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vAlign w:val="center"/>
          </w:tcPr>
          <w:p w14:paraId="7435CCD0">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《中华人民共和国民法典》第577条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118A8D31">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“当事人一方不履行合同义务或者履行合同义务不符合约定的，应当承担继续履行、采取补救措施或者赔偿损失等违约责任。”</w:t>
            </w:r>
          </w:p>
        </w:tc>
      </w:tr>
      <w:tr w14:paraId="5E4D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atLeast"/>
        </w:trPr>
        <w:tc>
          <w:tcPr>
            <w:tcW w:w="914" w:type="pct"/>
            <w:gridSpan w:val="3"/>
            <w:tcBorders>
              <w:top w:val="single" w:color="auto" w:sz="4" w:space="0"/>
              <w:left w:val="single" w:color="auto" w:sz="4" w:space="0"/>
              <w:bottom w:val="single" w:color="auto" w:sz="4" w:space="0"/>
              <w:right w:val="single" w:color="auto" w:sz="4" w:space="0"/>
            </w:tcBorders>
            <w:vAlign w:val="center"/>
          </w:tcPr>
          <w:p w14:paraId="0141071E">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《中华人民共和国民法典》第584条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7D1D1989">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tc>
      </w:tr>
      <w:tr w14:paraId="6FEC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vAlign w:val="center"/>
          </w:tcPr>
          <w:p w14:paraId="76F840B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《中华人民共和国民法典》第591条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1921EF88">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“当事人一方违约后，对方应当采取适当措施防止损失的扩大；没有采取适当措施致使损失扩大的，不得就扩大的损失请求赔偿。</w:t>
            </w:r>
          </w:p>
          <w:p w14:paraId="78B5BB41">
            <w:pPr>
              <w:ind w:left="0" w:leftChars="0" w:firstLine="420" w:firstLineChars="200"/>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当事人因防止损失扩大而支出的合理费用，由违约方负担。”</w:t>
            </w:r>
          </w:p>
        </w:tc>
      </w:tr>
      <w:tr w14:paraId="348A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22CD90F">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《中华人民共和国民法典》第809条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0EB948D7">
            <w:pPr>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“运输合同是承运人将旅客或者货物从起运地点运输到约定地点，旅客、托运人或者收货人支付票款或者运输费用的合同。”</w:t>
            </w:r>
          </w:p>
        </w:tc>
      </w:tr>
      <w:tr w14:paraId="77AF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3AB500C">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《中华人民共和国民法典》第811条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F2EB722">
            <w:pPr>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“承运人应当在约定期间或者合理期间内将旅客、货物安全运输到约定地点。”</w:t>
            </w:r>
          </w:p>
        </w:tc>
      </w:tr>
      <w:tr w14:paraId="2134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AEBDD85">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color w:val="auto"/>
                <w:vertAlign w:val="baseline"/>
                <w:lang w:val="en-US" w:eastAsia="zh-CN"/>
              </w:rPr>
              <w:t>《中华人民共和国民法典》第825条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1843C85B">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“托运人办理货物运输，应当向承运人准确表明收货人的名称或者姓名或者凭指示的收货人，货物的名称、性质、重量、数量，收货地点等有关货物运输的必要情况。</w:t>
            </w:r>
          </w:p>
          <w:p w14:paraId="027D33D3">
            <w:pPr>
              <w:ind w:firstLine="420" w:firstLineChars="200"/>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因托运人申报不实或者遗漏重要情况，造成承运人损失的，托运人应当承担损害赔偿责任。”</w:t>
            </w:r>
          </w:p>
        </w:tc>
      </w:tr>
      <w:tr w14:paraId="3A03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vAlign w:val="center"/>
          </w:tcPr>
          <w:p w14:paraId="38F3E913">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《中华人民共和国民法典》第832条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6322D987">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“承运人对运输过程中货物的毁损、灭失承担赔偿责任。但是，承运人证明货物的毁损、灭失是因不可抗力、货物本身的自然性质或者合理损耗以及托运人、收货人的过错造成的，不承担赔偿责任。”</w:t>
            </w:r>
          </w:p>
        </w:tc>
      </w:tr>
      <w:tr w14:paraId="6CE3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vAlign w:val="center"/>
          </w:tcPr>
          <w:p w14:paraId="04D02B17">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《中华人民共和国民法典》第833条</w:t>
            </w:r>
          </w:p>
        </w:tc>
        <w:tc>
          <w:tcPr>
            <w:tcW w:w="4085" w:type="pct"/>
            <w:gridSpan w:val="4"/>
            <w:tcBorders>
              <w:top w:val="single" w:color="auto" w:sz="4" w:space="0"/>
              <w:left w:val="single" w:color="auto" w:sz="4" w:space="0"/>
              <w:bottom w:val="single" w:color="auto" w:sz="4" w:space="0"/>
              <w:right w:val="single" w:color="auto" w:sz="4" w:space="0"/>
            </w:tcBorders>
            <w:vAlign w:val="center"/>
          </w:tcPr>
          <w:p w14:paraId="3ACB9C59">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tc>
      </w:tr>
      <w:tr w14:paraId="0FBF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26181EB">
            <w:pPr>
              <w:ind w:left="0" w:leftChars="0" w:firstLine="0" w:firstLineChars="0"/>
              <w:jc w:val="center"/>
              <w:rPr>
                <w:rFonts w:hint="eastAsia" w:ascii="方正仿宋_GB2312" w:hAnsi="方正仿宋_GB2312" w:eastAsia="方正仿宋_GB2312" w:cs="方正仿宋_GB2312"/>
                <w:b/>
                <w:bCs/>
                <w:color w:val="auto"/>
                <w:vertAlign w:val="baseline"/>
                <w:lang w:val="en-US" w:eastAsia="zh-CN"/>
              </w:rPr>
            </w:pPr>
            <w:r>
              <w:rPr>
                <w:rFonts w:hint="eastAsia" w:ascii="方正仿宋_GB2312" w:hAnsi="方正仿宋_GB2312" w:eastAsia="方正仿宋_GB2312" w:cs="方正仿宋_GB2312"/>
                <w:b/>
                <w:bCs/>
                <w:color w:val="auto"/>
                <w:vertAlign w:val="baseline"/>
                <w:lang w:val="en-US" w:eastAsia="zh-CN"/>
              </w:rPr>
              <w:t>《中华人民共和国民法典》第834条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34B1BB50">
            <w:pPr>
              <w:jc w:val="both"/>
              <w:rPr>
                <w:rFonts w:hint="eastAsia" w:ascii="方正仿宋_GB2312" w:hAnsi="方正仿宋_GB2312" w:eastAsia="方正仿宋_GB2312" w:cs="方正仿宋_GB2312"/>
                <w:vertAlign w:val="baseline"/>
                <w:lang w:eastAsia="zh-CN"/>
              </w:rPr>
            </w:pPr>
            <w:r>
              <w:rPr>
                <w:rFonts w:hint="eastAsia" w:ascii="方正仿宋_GB2312" w:hAnsi="方正仿宋_GB2312" w:eastAsia="方正仿宋_GB2312" w:cs="方正仿宋_GB2312"/>
                <w:vertAlign w:val="baseline"/>
                <w:lang w:eastAsia="zh-CN"/>
              </w:rPr>
              <w:t>“两个以上承运人以同一运输方式联运的，与托运人订立合同的承运人应当对全程运输承担责任。损失发生在某一运输区段的，与托运人订立合同的承运人和该区段的承运人承担连带责任。”</w:t>
            </w:r>
          </w:p>
        </w:tc>
      </w:tr>
      <w:tr w14:paraId="771B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F28121A">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vertAlign w:val="baseline"/>
                <w:lang w:val="en-US" w:eastAsia="zh-CN"/>
              </w:rPr>
              <w:t>《最高人民法院关于适用〈中华人民共和国民事诉讼法〉的解释》第90条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6F402F04">
            <w:pPr>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w:t>
            </w:r>
          </w:p>
        </w:tc>
      </w:tr>
      <w:tr w14:paraId="30CD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B84E1D1">
            <w:pPr>
              <w:ind w:left="0" w:leftChars="0" w:firstLine="0" w:firstLineChars="0"/>
              <w:jc w:val="center"/>
              <w:rPr>
                <w:rFonts w:hint="eastAsia" w:ascii="方正仿宋_GB2312" w:hAnsi="方正仿宋_GB2312" w:eastAsia="方正仿宋_GB2312" w:cs="方正仿宋_GB2312"/>
                <w:b/>
                <w:bCs/>
                <w:vertAlign w:val="baseline"/>
                <w:lang w:val="en-US" w:eastAsia="zh-CN"/>
              </w:rPr>
            </w:pPr>
            <w:r>
              <w:rPr>
                <w:rFonts w:hint="eastAsia" w:ascii="方正仿宋_GB2312" w:hAnsi="方正仿宋_GB2312" w:eastAsia="方正仿宋_GB2312" w:cs="方正仿宋_GB2312"/>
                <w:b/>
                <w:bCs/>
                <w:vertAlign w:val="baseline"/>
                <w:lang w:val="en-US" w:eastAsia="zh-CN"/>
              </w:rPr>
              <w:t>最高人民法院关于适用《中华人民共和国合同法》若干问题的解释（二）</w:t>
            </w:r>
          </w:p>
          <w:p w14:paraId="47688477">
            <w:pPr>
              <w:ind w:left="0" w:leftChars="0" w:firstLine="0" w:firstLineChars="0"/>
              <w:jc w:val="center"/>
              <w:rPr>
                <w:rFonts w:hint="eastAsia" w:ascii="方正仿宋_GB2312" w:hAnsi="方正仿宋_GB2312" w:eastAsia="方正仿宋_GB2312" w:cs="方正仿宋_GB2312"/>
                <w:b/>
                <w:bCs/>
                <w:kern w:val="2"/>
                <w:sz w:val="21"/>
                <w:szCs w:val="24"/>
                <w:vertAlign w:val="baseline"/>
                <w:lang w:val="en-US" w:eastAsia="zh-CN" w:bidi="ar-SA"/>
              </w:rPr>
            </w:pPr>
            <w:r>
              <w:rPr>
                <w:rFonts w:hint="eastAsia" w:ascii="方正仿宋_GB2312" w:hAnsi="方正仿宋_GB2312" w:eastAsia="方正仿宋_GB2312" w:cs="方正仿宋_GB2312"/>
                <w:b/>
                <w:bCs/>
                <w:vertAlign w:val="baseline"/>
                <w:lang w:val="en-US" w:eastAsia="zh-CN"/>
              </w:rPr>
              <w:t>第10条</w:t>
            </w:r>
          </w:p>
        </w:tc>
        <w:tc>
          <w:tcPr>
            <w:tcW w:w="4085"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47F71D0">
            <w:pPr>
              <w:jc w:val="both"/>
              <w:rPr>
                <w:rFonts w:hint="eastAsia" w:ascii="方正仿宋_GB2312" w:hAnsi="方正仿宋_GB2312" w:eastAsia="方正仿宋_GB2312" w:cs="方正仿宋_GB2312"/>
                <w:kern w:val="2"/>
                <w:sz w:val="21"/>
                <w:szCs w:val="24"/>
                <w:vertAlign w:val="baseline"/>
                <w:lang w:val="en-US" w:eastAsia="zh-CN" w:bidi="ar-SA"/>
              </w:rPr>
            </w:pPr>
            <w:r>
              <w:rPr>
                <w:rFonts w:hint="eastAsia" w:ascii="方正仿宋_GB2312" w:hAnsi="方正仿宋_GB2312" w:eastAsia="方正仿宋_GB2312" w:cs="方正仿宋_GB2312"/>
                <w:vertAlign w:val="baseline"/>
                <w:lang w:eastAsia="zh-CN"/>
              </w:rPr>
              <w:t>“提供格式条款的一方当事人违反合同法第三十九条第一款的规定，并具有合同法第四十条规定的情形之一的，人民法院应当认定该格式条款无效。”</w:t>
            </w:r>
          </w:p>
        </w:tc>
      </w:tr>
    </w:tbl>
    <w:p w14:paraId="6244B3C2">
      <w:pPr>
        <w:jc w:val="both"/>
        <w:rPr>
          <w:rFonts w:hint="eastAsia" w:ascii="方正仿宋_GB2312" w:hAnsi="方正仿宋_GB2312" w:eastAsia="方正仿宋_GB2312" w:cs="方正仿宋_GB2312"/>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embedRegular r:id="rId1" w:fontKey="{845EB2BB-735C-4AEB-BC5C-77DBD358D1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RhM2Y0MTExMjcyZmM0MTQ4MGVhNDcxMzI1NWIyOGMifQ=="/>
  </w:docVars>
  <w:rsids>
    <w:rsidRoot w:val="31B42E3C"/>
    <w:rsid w:val="00E85530"/>
    <w:rsid w:val="02DB675D"/>
    <w:rsid w:val="03DB18A2"/>
    <w:rsid w:val="05852631"/>
    <w:rsid w:val="06F816BC"/>
    <w:rsid w:val="07E55609"/>
    <w:rsid w:val="09657096"/>
    <w:rsid w:val="0C9B273A"/>
    <w:rsid w:val="0F360E40"/>
    <w:rsid w:val="10596B94"/>
    <w:rsid w:val="10FE773C"/>
    <w:rsid w:val="13E9085D"/>
    <w:rsid w:val="14AE3227"/>
    <w:rsid w:val="1677496A"/>
    <w:rsid w:val="1C510B7A"/>
    <w:rsid w:val="1EE91A2B"/>
    <w:rsid w:val="207977F4"/>
    <w:rsid w:val="21753704"/>
    <w:rsid w:val="221E19EC"/>
    <w:rsid w:val="22BE6D2B"/>
    <w:rsid w:val="232C1EE7"/>
    <w:rsid w:val="241423D3"/>
    <w:rsid w:val="253B28B5"/>
    <w:rsid w:val="25E44CFA"/>
    <w:rsid w:val="27743E5C"/>
    <w:rsid w:val="2DB36A96"/>
    <w:rsid w:val="2EA75322"/>
    <w:rsid w:val="2F005429"/>
    <w:rsid w:val="31B42E3C"/>
    <w:rsid w:val="39096AFA"/>
    <w:rsid w:val="3A2A398E"/>
    <w:rsid w:val="3A7B60FF"/>
    <w:rsid w:val="3BF35840"/>
    <w:rsid w:val="3C4D4F50"/>
    <w:rsid w:val="423F358D"/>
    <w:rsid w:val="427D74D8"/>
    <w:rsid w:val="448E3087"/>
    <w:rsid w:val="4496544D"/>
    <w:rsid w:val="46C06FD9"/>
    <w:rsid w:val="499C12C5"/>
    <w:rsid w:val="4B3C56F2"/>
    <w:rsid w:val="4BAB566A"/>
    <w:rsid w:val="4DB00EF6"/>
    <w:rsid w:val="4F675ED1"/>
    <w:rsid w:val="578C1931"/>
    <w:rsid w:val="5A56101C"/>
    <w:rsid w:val="5B561967"/>
    <w:rsid w:val="5C515082"/>
    <w:rsid w:val="5FF612D7"/>
    <w:rsid w:val="60A42E1E"/>
    <w:rsid w:val="60B91852"/>
    <w:rsid w:val="60BF31CE"/>
    <w:rsid w:val="63133E9C"/>
    <w:rsid w:val="66081600"/>
    <w:rsid w:val="66EF2FFE"/>
    <w:rsid w:val="69456E2B"/>
    <w:rsid w:val="69F60125"/>
    <w:rsid w:val="6DC0711C"/>
    <w:rsid w:val="6ECD10DB"/>
    <w:rsid w:val="6F053ED1"/>
    <w:rsid w:val="72ED47BB"/>
    <w:rsid w:val="7537175E"/>
    <w:rsid w:val="75C54CDF"/>
    <w:rsid w:val="77CD6969"/>
    <w:rsid w:val="7BE244AA"/>
    <w:rsid w:val="7DF06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46956</Words>
  <Characters>48524</Characters>
  <Lines>0</Lines>
  <Paragraphs>0</Paragraphs>
  <TotalTime>6</TotalTime>
  <ScaleCrop>false</ScaleCrop>
  <LinksUpToDate>false</LinksUpToDate>
  <CharactersWithSpaces>48585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2024-07-21T06:16:00Z</dcterms:created>
  <dc:creator>薛娟律师</dc:creator>
  <cp:lastModifiedBy>◆ 释青春</cp:lastModifiedBy>
  <dcterms:modified xsi:type="dcterms:W3CDTF">2026-03-07T08:04:00Z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1996B5396C574937A575310EF16C5742_13</vt:lpwstr>
  </property>
  <property fmtid="{D5CDD505-2E9C-101B-9397-08002B2CF9AE}" pid="4" name="KSOTemplateDocerSaveRecord">
    <vt:lpwstr>eyJoZGlkIjoiYjkyZmNhZmMwYTRkMzdjNDc0ZDBiODA4ZTNmNjg2YzYiLCJ1c2VySWQiOiI2MzYzNDcyMDkifQ==</vt:lpwstr>
  </property>
</Properties>
</file>