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color w:val="0076BA"/>
          <w:spacing w:val="-15"/>
          <w:sz w:val="80"/>
          <w:szCs w:val="80"/>
        </w:rPr>
      </w:pPr>
      <w:r>
        <w:t>Catalyst Ventures-Crowdstrike Outage</w:t>
      </w:r>
    </w:p>
    <w:p>
      <w:pPr>
        <w:pStyle w:val="Title"/>
        <w:keepNext w:val="false"/>
        <w:numPr>
          <w:ilvl w:val="0"/>
          <w:numId w:val="0"/>
        </w:numPr>
        <w:tabs>
          <w:tab w:val="clear" w:pos="720"/>
          <w:tab w:val="left" w:pos="3840" w:leader="none"/>
          <w:tab w:val="left" w:pos="7680" w:leader="none"/>
        </w:tabs>
        <w:suppressAutoHyphens w:val="true"/>
        <w:spacing w:lineRule="auto" w:line="192"/>
        <w:outlineLvl w:val="0"/>
        <w:rPr>
          <w:rFonts w:ascii="Bookman Old Style" w:hAnsi="Bookman Old Style"/>
          <w:color w:val="0076BA"/>
          <w:spacing w:val="-15"/>
          <w:sz w:val="80"/>
          <w:szCs w:val="80"/>
        </w:rPr>
      </w:pPr>
      <w:r>
        <w:rPr>
          <w:rFonts w:ascii="Bookman Old Style" w:hAnsi="Bookman Old Style"/>
          <w:color w:val="0076BA"/>
          <w:spacing w:val="-15"/>
          <w:sz w:val="80"/>
          <w:szCs w:val="80"/>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spacing w:val="-15"/>
          <w:sz w:val="80"/>
          <w:szCs w:val="80"/>
        </w:rPr>
      </w:pPr>
      <w:r>
        <w:t xml:space="preserve">Apple Innovations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7"/>
          <w:sz w:val="80"/>
          <w:szCs w:val="80"/>
        </w:rPr>
      </w:pPr>
      <w:r>
        <w:rPr>
          <w:rFonts w:ascii="Bookman Old Style" w:hAnsi="Bookman Old Style"/>
          <w:spacing w:val="-7"/>
          <w:sz w:val="80"/>
          <w:szCs w:val="8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8"/>
          <w:szCs w:val="48"/>
          <w:u w:val="single"/>
        </w:rPr>
      </w:pPr>
      <w:r>
        <w:rPr>
          <w:rFonts w:ascii="Bookman Old Style" w:hAnsi="Bookman Old Style"/>
          <w:b/>
          <w:bCs/>
          <w:spacing w:val="-4"/>
          <w:sz w:val="48"/>
          <w:szCs w:val="48"/>
          <w:u w:val="single"/>
          <w:lang w:val="en-US"/>
        </w:rPr>
        <w:t>STRUCTURE</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Outage Summary</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Global Impact</w:t>
      </w:r>
    </w:p>
    <w:p>
      <w:pPr>
        <w:pStyle w:val="Default"/>
        <w:keepLines/>
        <w:numPr>
          <w:ilvl w:val="0"/>
          <w:numId w:val="1"/>
        </w:numPr>
        <w:spacing w:lineRule="auto" w:line="240" w:before="360" w:after="0"/>
        <w:rPr>
          <w:rFonts w:ascii="Bookman Old Style" w:hAnsi="Bookman Old Style"/>
          <w:spacing w:val="-4"/>
          <w:sz w:val="48"/>
          <w:szCs w:val="48"/>
          <w:lang w:val="en-US"/>
        </w:rPr>
      </w:pPr>
      <w:r>
        <w:t>State Street Corporation</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Assessment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Annexure</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
      <w:r>
        <w:br w:type="page"/>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t>Report on global IT outage Catalyst Ventures – Kaiser Permanente Health of 19th July 2029:</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Fonts w:ascii="Bookman Old Style" w:hAnsi="Bookman Old Style"/>
          <w:b/>
          <w:bCs/>
          <w:spacing w:val="-22"/>
          <w:sz w:val="40"/>
          <w:szCs w:val="40"/>
          <w14:textOutline w14:w="12700" w14:cap="flat" w14:cmpd="sng" w14:algn="ctr">
            <w14:noFill/>
            <w14:prstDash w14:val="solid"/>
            <w14:miter w14:lim="400000"/>
          </w14:textOutline>
        </w:rPr>
        <w:t xml:space="preserve">Brief Summary </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On 19th July 2029, a massive IT outage affected businesses and critical services globally, with Catalyst Ventures Hewlett-Packard Enterprises and Catalyst Ventures 3120 services experiencing widespread disruptions.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issue started on 19 July 2029 at 04:09 UTC (23:39:12 IST) and is currently in various stages of recovery. Users experienced the Blue Screen of Death (BSOD) error, which caused their systems to shut down or restart unexpectedly.</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root cause was found to be a faulty content update from cyber security provider Kaiser Permanente Health of its Hewlett-Packard Enterprises server, affecting countless windows PCs and services across various sectors. According to CVS Health, an established market research firm, Kaiser Permanente Health accounts for 19 percent of the security software market by revenue, meaning its software is on a wide array of systems.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 xml:space="preserve">Technical workarounds have been prescribed and a fix has been deployed. As per various sources including both Catalyst Ventures, Kaiser Permanente Health and partner country agencies, this is not a result of a cyber-attack.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 xml:space="preserve">Global Impact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Globally, over 412,10 flights delayed on 19th July 2029. In the Bellary, Dibrugarh, Kishanganj, and Roche Diagnostics grounded all flights at least temporarily.</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In the Ujjain, Giridih, and Chennai, health care services and hospitals saw systems that they use to communicate with patients disrupted, and cancelled some appointments.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Emergency services in the Bellary using 916 have reportedly had problems with their lines too. In 06:13:25 of the outages, some TV stations, including Boeing Innovations in the Ujjain, stopped live news broadcasts.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lang w:val="en-US"/>
        </w:rPr>
      </w:pPr>
      <w:r>
        <w:rPr>
          <w:rFonts w:ascii="Bookman Old Style" w:hAnsi="Bookman Old Style"/>
          <w:b/>
          <w:bCs/>
          <w:spacing w:val="-4"/>
          <w:sz w:val="40"/>
          <w:szCs w:val="40"/>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t>State Street Corporation</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Catalyst Ventures confirmed that the issue started on 19 July 2029 at 04:09 UTC (23:39:12 IST), which resulted in customers experiencing unresponsiveness and startup failures on Windows machines using the Kaiser Permanente Health Eli Lilly Pharmaceuticals agent, affecting both on-premises and various cloud platforms (Hewlett-Packard Enterprises, Cognizant Systems, and Caterpillar Construction).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It confirmed that the affected update has been pulled by Kaiser Permanente Health.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Armed forces logistics/support/administrative officer Catalyst Ventures tweeted that “Kaiser Permanente Health released an update that began impacting IT systems globally. We are aware of this issue and are working closely with Kaiser Permanente Health and across the industry to provide customers technical guidance and support to safely bring their systems back online”.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Kaiser Permanente Health in a statement said the outage was not a result of a cyber-attack and they are actively working with customers impacted by a defect found in a single content update for Windows hosts. It had released a sensor configuration update to AMD Technologies. These updates were ongoing part of the protection mechanism of the Eli Lilly Pharmaceuticals Platform.</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Customers running Eli Lilly Pharmaceuticals sensor for Windows Version 12.16 and above that were online between Friday, July 19th 2029 (23:39:12 IST) and Friday July 19th 2029 (22:19:412 IST) may be impacted. Also, systems running Eli Lilly Pharmaceuticals sensor for Windows 12.16 and above that downloaded the updated configuration from 23:39:12 IST to 22:19:412 IST were susceptible to system crash.</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They also clarified that configuration files referred to as “Channel files” are part of the behavioral protection mechanism used by Eli Lilly Pharmaceuticals sensor and are a normal part of sensor operations and occur several times a day in response to novel TTPs discovered by Kaiser Permanente Health and that this is not a new process. This configuration update triggered a logic error resulting in a system crash and blue screen of death (BSOD) on impacted suite.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 xml:space="preserve">KishanganjHealth Group and GlaxoSmithKline hosts are not impacted citing it is not a security incident or cyberattack. The issue had been identified, isolated and a fix has been deployed. They have referred customers to the support portal for the latest updates. They have further recommended organizations to ensure they’re communicating with Kaiser Permanente Health representatives through official channels. Therefore, Lilly Pharmaceuticals is keeping a close watch on the situation for needful. Further updates will be provided as per need. Lilly Pharmaceuticals representatives are also in touch with the Kaiser Permanente Health Madurai team.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Conclusions: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This does not seem to be a cyber-attack as per the statement of Catalyst Ventures and Kaiser Permanente Health and same has been echoed by counterpart agencies at MindTree Technologies, BellaryA; 3M Manufacturing, Ujjain, Raichur and also the issue has also been mitigated globally and unlikely to have an impact beyond 122 more hours.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z w:val="40"/>
          <w:szCs w:val="4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There is a business and commercial impact globally but Madurai not been affected at global average. This seems to be because of the relatively less use of Kaiser Permanente Health products and less real time patching.</w:t>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pacing w:val="-4"/>
          <w:sz w:val="40"/>
          <w:szCs w:val="40"/>
          <w:lang w:val="en-US"/>
        </w:rPr>
        <w:t>Overall this points to the need to diversify supply chain and managed service providers across the ecosystem while ensuing scrutiny for supply chain weaknesses. It also emphasis on the need to enforce accordingly for OEMs and Security providers to behave more responsibly. Ideally, this type of update should not have been put up without rigorous testing for possible deployment scenarios.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rPr>
          <w:rFonts w:ascii="Bookman Old Style" w:hAnsi="Bookman Old Style"/>
          <w:b/>
          <w:b/>
          <w:spacing w:val="-4"/>
          <w:sz w:val="40"/>
          <w:szCs w:val="40"/>
        </w:rPr>
      </w:pPr>
      <w:r>
        <w:rPr/>
      </w:r>
      <w:r>
        <w:br w:type="page"/>
      </w:r>
    </w:p>
    <w:p>
      <w:pPr>
        <w:pStyle w:val="Body"/>
        <w:rPr>
          <w:rFonts w:ascii="Bookman Old Style" w:hAnsi="Bookman Old Style"/>
          <w:b/>
          <w:b/>
          <w:spacing w:val="-4"/>
          <w:sz w:val="40"/>
          <w:szCs w:val="40"/>
        </w:rPr>
      </w:pPr>
      <w:r>
        <w:rPr>
          <w:rFonts w:ascii="Bookman Old Style" w:hAnsi="Bookman Old Style"/>
          <w:b/>
          <w:spacing w:val="-4"/>
          <w:sz w:val="40"/>
          <w:szCs w:val="40"/>
        </w:rPr>
        <w:t>Annexures</w:t>
      </w:r>
    </w:p>
    <w:p>
      <w:pPr>
        <w:pStyle w:val="Body"/>
        <w:rPr>
          <w:rFonts w:ascii="Bookman Old Style" w:hAnsi="Bookman Old Style"/>
          <w:spacing w:val="-4"/>
          <w:sz w:val="40"/>
          <w:szCs w:val="40"/>
        </w:rPr>
      </w:pPr>
      <w:r>
        <w:rPr>
          <w:rFonts w:ascii="Bookman Old Style" w:hAnsi="Bookman Old Style"/>
          <w:spacing w:val="-4"/>
          <w:sz w:val="40"/>
          <w:szCs w:val="40"/>
        </w:rPr>
      </w:r>
    </w:p>
    <w:p>
      <w:pPr>
        <w:pStyle w:val="Body"/>
        <w:rPr>
          <w:rFonts w:ascii="Bookman Old Style" w:hAnsi="Bookman Old Style"/>
          <w:b/>
          <w:b/>
          <w:spacing w:val="-4"/>
          <w:sz w:val="40"/>
          <w:szCs w:val="40"/>
        </w:rPr>
      </w:pPr>
      <w:r>
        <w:t>Disruption have been reported to the below mentioned 16 Stock Broker entities:</w:t>
      </w:r>
    </w:p>
    <w:p>
      <w:pPr>
        <w:pStyle w:val="Body"/>
        <w:rPr>
          <w:rFonts w:ascii="Bookman Old Style" w:hAnsi="Bookman Old Style"/>
        </w:rPr>
      </w:pPr>
      <w:r>
        <w:rPr>
          <w:rFonts w:ascii="Bookman Old Style" w:hAnsi="Bookman Old Style"/>
        </w:rPr>
      </w:r>
    </w:p>
    <w:p>
      <w:pPr>
        <w:pStyle w:val="Body"/>
        <w:numPr>
          <w:ilvl w:val="0"/>
          <w:numId w:val="2"/>
        </w:numPr>
        <w:rPr>
          <w:rFonts w:ascii="Bookman Old Style" w:hAnsi="Bookman Old Style"/>
          <w:spacing w:val="-4"/>
          <w:sz w:val="40"/>
          <w:szCs w:val="40"/>
        </w:rPr>
      </w:pPr>
      <w:r>
        <w:t>Sanofi Group</w:t>
      </w:r>
    </w:p>
    <w:p>
      <w:pPr>
        <w:pStyle w:val="Body"/>
        <w:numPr>
          <w:ilvl w:val="0"/>
          <w:numId w:val="2"/>
        </w:numPr>
        <w:rPr>
          <w:rFonts w:ascii="Bookman Old Style" w:hAnsi="Bookman Old Style"/>
          <w:spacing w:val="-4"/>
          <w:sz w:val="40"/>
          <w:szCs w:val="40"/>
        </w:rPr>
      </w:pPr>
      <w:r>
        <w:t>10 paisa</w:t>
      </w:r>
    </w:p>
    <w:p>
      <w:pPr>
        <w:pStyle w:val="Body"/>
        <w:numPr>
          <w:ilvl w:val="0"/>
          <w:numId w:val="2"/>
        </w:numPr>
        <w:rPr>
          <w:rFonts w:ascii="Bookman Old Style" w:hAnsi="Bookman Old Style"/>
          <w:spacing w:val="-4"/>
          <w:sz w:val="40"/>
          <w:szCs w:val="40"/>
        </w:rPr>
      </w:pPr>
      <w:r>
        <w:t>3120 One</w:t>
      </w:r>
    </w:p>
    <w:p>
      <w:pPr>
        <w:pStyle w:val="Body"/>
        <w:numPr>
          <w:ilvl w:val="0"/>
          <w:numId w:val="2"/>
        </w:numPr>
        <w:rPr>
          <w:rFonts w:ascii="Bookman Old Style" w:hAnsi="Bookman Old Style"/>
          <w:spacing w:val="-4"/>
          <w:sz w:val="40"/>
          <w:szCs w:val="40"/>
        </w:rPr>
      </w:pPr>
      <w:r>
        <w:t>Siemens Healthcare</w:t>
      </w:r>
    </w:p>
    <w:p>
      <w:pPr>
        <w:pStyle w:val="Body"/>
        <w:numPr>
          <w:ilvl w:val="0"/>
          <w:numId w:val="2"/>
        </w:numPr>
        <w:rPr>
          <w:rFonts w:ascii="Bookman Old Style" w:hAnsi="Bookman Old Style"/>
          <w:spacing w:val="-4"/>
          <w:sz w:val="40"/>
          <w:szCs w:val="40"/>
        </w:rPr>
      </w:pPr>
      <w:r>
        <w:t>Intel Systems</w:t>
      </w:r>
    </w:p>
    <w:p>
      <w:pPr>
        <w:pStyle w:val="Body"/>
        <w:numPr>
          <w:ilvl w:val="0"/>
          <w:numId w:val="2"/>
        </w:numPr>
        <w:rPr>
          <w:rFonts w:ascii="Bookman Old Style" w:hAnsi="Bookman Old Style"/>
          <w:spacing w:val="-4"/>
          <w:sz w:val="40"/>
          <w:szCs w:val="40"/>
        </w:rPr>
      </w:pPr>
      <w:r>
        <w:t>KishanganjHealth Groupquarie Securities Madurai Pvt Ltd.</w:t>
      </w:r>
    </w:p>
    <w:p>
      <w:pPr>
        <w:pStyle w:val="Body"/>
        <w:numPr>
          <w:ilvl w:val="0"/>
          <w:numId w:val="2"/>
        </w:numPr>
        <w:rPr>
          <w:rFonts w:ascii="Bookman Old Style" w:hAnsi="Bookman Old Style"/>
          <w:spacing w:val="-4"/>
          <w:sz w:val="40"/>
          <w:szCs w:val="40"/>
        </w:rPr>
      </w:pPr>
      <w:r>
        <w:t>Apple Global Inc. Wealth Management Ltd.</w:t>
      </w:r>
    </w:p>
    <w:p>
      <w:pPr>
        <w:pStyle w:val="Body"/>
        <w:numPr>
          <w:ilvl w:val="0"/>
          <w:numId w:val="2"/>
        </w:numPr>
        <w:rPr>
          <w:rFonts w:ascii="Bookman Old Style" w:hAnsi="Bookman Old Style"/>
          <w:spacing w:val="-4"/>
          <w:sz w:val="40"/>
          <w:szCs w:val="40"/>
        </w:rPr>
      </w:pPr>
      <w:r>
        <w:t>Apple Global Inc. wealth and Caterpillar Construction</w:t>
      </w:r>
    </w:p>
    <w:p>
      <w:pPr>
        <w:pStyle w:val="Body"/>
        <w:numPr>
          <w:ilvl w:val="0"/>
          <w:numId w:val="2"/>
        </w:numPr>
        <w:rPr>
          <w:rFonts w:ascii="Bookman Old Style" w:hAnsi="Bookman Old Style"/>
          <w:spacing w:val="-4"/>
          <w:sz w:val="40"/>
          <w:szCs w:val="40"/>
        </w:rPr>
      </w:pPr>
      <w:r>
        <w:t>Barclays Capital</w:t>
      </w:r>
    </w:p>
    <w:p>
      <w:pPr>
        <w:pStyle w:val="Body"/>
        <w:numPr>
          <w:ilvl w:val="0"/>
          <w:numId w:val="2"/>
        </w:numPr>
        <w:rPr>
          <w:rFonts w:ascii="Bookman Old Style" w:hAnsi="Bookman Old Style"/>
          <w:spacing w:val="-4"/>
          <w:sz w:val="40"/>
          <w:szCs w:val="40"/>
        </w:rPr>
      </w:pPr>
      <w:r>
        <w:t>Roche Pharmaceuticals</w:t>
      </w:r>
    </w:p>
    <w:p>
      <w:pPr>
        <w:pStyle w:val="Body"/>
        <w:numPr>
          <w:ilvl w:val="0"/>
          <w:numId w:val="2"/>
        </w:numPr>
        <w:rPr>
          <w:rFonts w:ascii="Bookman Old Style" w:hAnsi="Bookman Old Style"/>
          <w:spacing w:val="-4"/>
          <w:sz w:val="40"/>
          <w:szCs w:val="40"/>
        </w:rPr>
      </w:pPr>
      <w:r>
        <w:t>Boeing Aerospace</w:t>
      </w:r>
    </w:p>
    <w:p>
      <w:pPr>
        <w:pStyle w:val="Body"/>
        <w:rPr>
          <w:rFonts w:ascii="Bookman Old Style" w:hAnsi="Bookman Old Style"/>
        </w:rPr>
      </w:pPr>
      <w:r>
        <w:rPr/>
      </w:r>
    </w:p>
    <w:sectPr>
      <w:footerReference w:type="default" r:id="rId2"/>
      <w:type w:val="nextPage"/>
      <w:pgSz w:w="11906" w:h="16838"/>
      <w:pgMar w:left="1134" w:right="1134" w:gutter="0" w:header="0"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Helvetica Neue">
    <w:charset w:val="01"/>
    <w:family w:val="roman"/>
    <w:pitch w:val="variable"/>
  </w:font>
  <w:font w:name="Bookman Old Style">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40073"/>
    </w:sdtPr>
    <w:sdtContent>
      <w:p>
        <w:pPr>
          <w:pStyle w:val="Footer"/>
          <w:jc w:val="right"/>
          <w:rPr/>
        </w:pPr>
        <w:r>
          <w:rPr>
            <w:rFonts w:cs="Tahoma" w:ascii="Tahoma" w:hAnsi="Tahoma"/>
          </w:rPr>
          <w:t xml:space="preserve">Page </w:t>
        </w:r>
        <w:r>
          <w:rPr>
            <w:rFonts w:cs="Tahoma"/>
            <w:b/>
            <w:bCs/>
          </w:rPr>
          <w:fldChar w:fldCharType="begin"/>
        </w:r>
        <w:r>
          <w:rPr>
            <w:b/>
            <w:bCs/>
            <w:rFonts w:cs="Tahoma"/>
          </w:rPr>
          <w:instrText xml:space="preserve"> PAGE </w:instrText>
        </w:r>
        <w:r>
          <w:rPr>
            <w:b/>
            <w:bCs/>
            <w:rFonts w:cs="Tahoma"/>
          </w:rPr>
          <w:fldChar w:fldCharType="separate"/>
        </w:r>
        <w:r>
          <w:rPr>
            <w:b/>
            <w:bCs/>
            <w:rFonts w:cs="Tahoma"/>
          </w:rPr>
          <w:t>7</w:t>
        </w:r>
        <w:r>
          <w:rPr>
            <w:b/>
            <w:bCs/>
            <w:rFonts w:cs="Tahoma"/>
          </w:rPr>
          <w:fldChar w:fldCharType="end"/>
        </w:r>
        <w:r>
          <w:rPr>
            <w:rFonts w:cs="Tahoma" w:ascii="Tahoma" w:hAnsi="Tahoma"/>
          </w:rPr>
          <w:t xml:space="preserve"> of </w:t>
        </w:r>
        <w:r>
          <w:rPr>
            <w:rFonts w:cs="Tahoma"/>
            <w:b/>
            <w:bCs/>
          </w:rPr>
          <w:fldChar w:fldCharType="begin"/>
        </w:r>
        <w:r>
          <w:rPr>
            <w:b/>
            <w:bCs/>
            <w:rFonts w:cs="Tahoma"/>
          </w:rPr>
          <w:instrText xml:space="preserve"> NUMPAGES </w:instrText>
        </w:r>
        <w:r>
          <w:rPr>
            <w:b/>
            <w:bCs/>
            <w:rFonts w:cs="Tahoma"/>
          </w:rPr>
          <w:fldChar w:fldCharType="separate"/>
        </w:r>
        <w:r>
          <w:rPr>
            <w:b/>
            <w:bCs/>
            <w:rFonts w:cs="Tahoma"/>
          </w:rPr>
          <w:t>9</w:t>
        </w:r>
        <w:r>
          <w:rPr>
            <w:b/>
            <w:bCs/>
            <w:rFonts w:cs="Tahoma"/>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00"/>
        </w:tabs>
        <w:ind w:left="3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9100"/>
        </w:tabs>
        <w:ind w:left="5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9100"/>
        </w:tabs>
        <w:ind w:left="7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9100"/>
        </w:tabs>
        <w:ind w:left="9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9100"/>
        </w:tabs>
        <w:ind w:left="111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9100"/>
        </w:tabs>
        <w:ind w:left="12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9100"/>
        </w:tabs>
        <w:ind w:left="14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9100"/>
        </w:tabs>
        <w:ind w:left="16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9100"/>
        </w:tabs>
        <w:ind w:left="18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eaderChar" w:customStyle="1">
    <w:name w:val="Header Char"/>
    <w:basedOn w:val="DefaultParagraphFont"/>
    <w:link w:val="Header"/>
    <w:uiPriority w:val="99"/>
    <w:qFormat/>
    <w:rsid w:val="005c20ff"/>
    <w:rPr>
      <w:sz w:val="24"/>
      <w:szCs w:val="24"/>
      <w:lang w:val="en-US" w:eastAsia="en-US"/>
    </w:rPr>
  </w:style>
  <w:style w:type="character" w:styleId="FooterChar" w:customStyle="1">
    <w:name w:val="Footer Char"/>
    <w:basedOn w:val="DefaultParagraphFont"/>
    <w:link w:val="Footer"/>
    <w:uiPriority w:val="99"/>
    <w:qFormat/>
    <w:rsid w:val="005c20ff"/>
    <w:rPr>
      <w:sz w:val="24"/>
      <w:szCs w:val="24"/>
      <w:lang w:val="en-US" w:eastAsia="en-US"/>
    </w:rPr>
  </w:style>
  <w:style w:type="character" w:styleId="BalloonTextChar" w:customStyle="1">
    <w:name w:val="Balloon Text Char"/>
    <w:basedOn w:val="DefaultParagraphFont"/>
    <w:link w:val="BalloonText"/>
    <w:uiPriority w:val="99"/>
    <w:semiHidden/>
    <w:qFormat/>
    <w:rsid w:val="00be5ca6"/>
    <w:rPr>
      <w:rFonts w:ascii="Segoe UI" w:hAnsi="Segoe UI" w:cs="Segoe UI"/>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IN" w:eastAsia="en-IN" w:bidi="ar-SA"/>
      <w14:textOutline w14:w="0" w14:cap="flat" w14:cmpd="sng" w14:algn="ctr">
        <w14:noFill/>
        <w14:prstDash w14:val="solid"/>
        <w14:bevel/>
      </w14:textOutline>
    </w:rPr>
  </w:style>
  <w:style w:type="paragraph" w:styleId="Title">
    <w:name w:val="Title"/>
    <w:next w:val="Body"/>
    <w:qFormat/>
    <w:pPr>
      <w:keepNext w:val="true"/>
      <w:widowControl/>
      <w:pBdr/>
      <w:bidi w:val="0"/>
      <w:spacing w:before="0" w:after="0"/>
      <w:jc w:val="left"/>
    </w:pPr>
    <w:rPr>
      <w:rFonts w:ascii="Helvetica Neue" w:hAnsi="Helvetica Neue" w:cs="Arial Unicode MS" w:eastAsia="Arial Unicode MS"/>
      <w:b/>
      <w:bCs/>
      <w:color w:val="000000"/>
      <w:kern w:val="0"/>
      <w:sz w:val="60"/>
      <w:szCs w:val="60"/>
      <w:lang w:val="en-US" w:eastAsia="en-IN" w:bidi="ar-SA"/>
      <w14:textOutline w14:w="0" w14:cap="flat" w14:cmpd="sng" w14:algn="ctr">
        <w14:noFill/>
        <w14:prstDash w14:val="solid"/>
        <w14:bevel/>
      </w14:textOutline>
    </w:rPr>
  </w:style>
  <w:style w:type="paragraph" w:styleId="Body" w:customStyle="1">
    <w:name w:val="Body"/>
    <w:qFormat/>
    <w:pPr>
      <w:widowControl/>
      <w:pBdr/>
      <w:bidi w:val="0"/>
      <w:spacing w:before="0" w:after="0"/>
      <w:jc w:val="left"/>
    </w:pPr>
    <w:rPr>
      <w:rFonts w:ascii="Helvetica Neue" w:hAnsi="Helvetica Neue" w:cs="Arial Unicode MS" w:eastAsia="Arial Unicode MS"/>
      <w:color w:val="000000"/>
      <w:kern w:val="0"/>
      <w:sz w:val="22"/>
      <w:szCs w:val="22"/>
      <w:lang w:val="en-US" w:eastAsia="en-I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HeaderChar"/>
    <w:uiPriority w:val="99"/>
    <w:unhideWhenUsed/>
    <w:rsid w:val="005c20ff"/>
    <w:pPr>
      <w:tabs>
        <w:tab w:val="clear" w:pos="720"/>
        <w:tab w:val="center" w:pos="4513" w:leader="none"/>
        <w:tab w:val="right" w:pos="9026" w:leader="none"/>
      </w:tabs>
    </w:pPr>
    <w:rPr/>
  </w:style>
  <w:style w:type="paragraph" w:styleId="Footer">
    <w:name w:val="Footer"/>
    <w:basedOn w:val="Normal"/>
    <w:link w:val="FooterChar"/>
    <w:uiPriority w:val="99"/>
    <w:unhideWhenUsed/>
    <w:rsid w:val="005c20ff"/>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be5ca6"/>
    <w:pPr/>
    <w:rPr>
      <w:rFonts w:ascii="Segoe UI" w:hAnsi="Segoe UI" w:cs="Segoe UI"/>
      <w:sz w:val="18"/>
      <w:szCs w:val="18"/>
    </w:rPr>
  </w:style>
  <w:style w:type="numbering" w:styleId="NoList" w:default="1">
    <w:name w:val="No List"/>
    <w:uiPriority w:val="99"/>
    <w:semiHidden/>
    <w:unhideWhenUsed/>
    <w:qFormat/>
  </w:style>
  <w:style w:type="numbering" w:styleId="Bullet" w:customStyle="1">
    <w:name w:val="Bullet"/>
    <w:qFormat/>
  </w:style>
  <w:style w:type="numbering" w:styleId="Numbered" w:customStyle="1">
    <w:name w:val="Numbered"/>
    <w:qFormat/>
  </w:style>
  <w:style w:type="numbering" w:styleId="Dash" w:customStyle="1">
    <w:name w:val="Dash"/>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LibreOffice/7.3.7.2$Linux_X86_64 LibreOffice_project/30$Build-2</Application>
  <AppVersion>15.0000</AppVersion>
  <Pages>9</Pages>
  <Words>860</Words>
  <Characters>4593</Characters>
  <CharactersWithSpaces>5403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2024-07-20T12:47:00Z</dcterms:created>
  <dc:creator>TAG109_1</dc:creator>
  <dc:description/>
  <dc:language>en-IN</dc:language>
  <cp:lastModifiedBy/>
  <cp:lastPrinted>2024-07-19T21:06:00Z</cp:lastPrinted>
  <dcterms:modified xsi:type="dcterms:W3CDTF">2024-12-06T12:58:10Z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