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759A0D">
      <w:r>
        <w:br w:type="textWrapping"/>
      </w:r>
      <w:r>
        <w:br w:type="textWrapping"/>
      </w:r>
      <w:r>
        <w:br w:type="textWrapping"/>
      </w:r>
      <w:r>
        <w:br w:type="textWrapping"/>
      </w:r>
      <w:r>
        <w:br w:type="textWrapping"/>
      </w:r>
    </w:p>
    <w:p w14:paraId="2316BAAD">
      <w:pPr>
        <w:jc w:val="center"/>
      </w:pPr>
      <w:r>
        <w:rPr>
          <w:b/>
          <w:color w:val="E53935"/>
          <w:sz w:val="56"/>
        </w:rPr>
        <w:t>DETAILED ACCESSIBILITY AUDIT (WCAG 2.1)</w:t>
      </w:r>
    </w:p>
    <w:p w14:paraId="1A8C98B4">
      <w:pPr>
        <w:jc w:val="center"/>
      </w:pPr>
      <w:r>
        <w:rPr>
          <w:color w:val="808080"/>
          <w:sz w:val="36"/>
        </w:rPr>
        <w:t>COMPLIANCE LEVEL: LEVEL AA</w:t>
      </w:r>
    </w:p>
    <w:p w14:paraId="7740F092">
      <w:r>
        <w:br w:type="page"/>
      </w:r>
    </w:p>
    <w:p w14:paraId="6D435244">
      <w:pPr>
        <w:pStyle w:val="2"/>
      </w:pPr>
      <w:r>
        <w:rPr>
          <w:rFonts w:ascii="Arial" w:hAnsi="Arial"/>
          <w:color w:val="E53935"/>
        </w:rPr>
        <w:t>1. Introduction &amp; Audit Scope</w:t>
      </w:r>
    </w:p>
    <w:p w14:paraId="6AAB825C">
      <w:r>
        <w:rPr>
          <w:rFonts w:ascii="Arial" w:hAnsi="Arial"/>
          <w:b w:val="0"/>
          <w:i w:val="0"/>
          <w:sz w:val="22"/>
        </w:rPr>
        <w:t xml:space="preserve">Accessibility is a core value of the </w:t>
      </w:r>
      <w:r>
        <w:rPr>
          <w:rFonts w:hint="default" w:ascii="Arial" w:hAnsi="Arial"/>
          <w:b w:val="0"/>
          <w:i w:val="0"/>
          <w:sz w:val="22"/>
          <w:lang w:val="fr-FR"/>
        </w:rPr>
        <w:t>Artisant</w:t>
      </w:r>
      <w:bookmarkStart w:id="0" w:name="_GoBack"/>
      <w:bookmarkEnd w:id="0"/>
      <w:r>
        <w:rPr>
          <w:rFonts w:ascii="Arial" w:hAnsi="Arial"/>
          <w:b w:val="0"/>
          <w:i w:val="0"/>
          <w:sz w:val="22"/>
        </w:rPr>
        <w:t xml:space="preserve"> platform. Our goal is to ensure that the BTP ecosystem is fully inclusive, allowing users with visual, motor, or cognitive impairments to manage their professional workflows without barriers. This audit evaluates the platform's compliance with the Web Content Accessibility Guidelines (WCAG) 2.1 Level AA standards.</w:t>
      </w:r>
    </w:p>
    <w:p w14:paraId="370C6EF5">
      <w:pPr>
        <w:pStyle w:val="2"/>
      </w:pPr>
      <w:r>
        <w:rPr>
          <w:rFonts w:ascii="Arial" w:hAnsi="Arial"/>
          <w:color w:val="E53935"/>
        </w:rPr>
        <w:t>2. WCAG Principle 1: Perceivable</w:t>
      </w:r>
    </w:p>
    <w:p w14:paraId="2FE62B4B">
      <w:r>
        <w:rPr>
          <w:rFonts w:ascii="Arial" w:hAnsi="Arial"/>
          <w:b w:val="0"/>
          <w:i w:val="0"/>
          <w:sz w:val="22"/>
        </w:rPr>
        <w:t>Information and user interface components must be presentable to users in ways they can perceive.</w:t>
      </w:r>
    </w:p>
    <w:p w14:paraId="25FE7852">
      <w:pPr>
        <w:pStyle w:val="23"/>
      </w:pPr>
      <w:r>
        <w:rPr>
          <w:rFonts w:ascii="Arial" w:hAnsi="Arial"/>
          <w:sz w:val="22"/>
        </w:rPr>
        <w:t>1.1.1 Non-text Content: All functional icons and images have descriptive aria-labels. Product images from suppliers include mandatory alt text fields.</w:t>
      </w:r>
    </w:p>
    <w:p w14:paraId="4D6233D4">
      <w:pPr>
        <w:pStyle w:val="23"/>
      </w:pPr>
      <w:r>
        <w:rPr>
          <w:rFonts w:ascii="Arial" w:hAnsi="Arial"/>
          <w:sz w:val="22"/>
        </w:rPr>
        <w:t>1.4.3 Contrast (Minimum): All branding and UI elements have been verified to have a contrast ratio of at least 4.5:1 for normal text and 3:1 for large text.</w:t>
      </w:r>
    </w:p>
    <w:p w14:paraId="17A7E841">
      <w:pPr>
        <w:pStyle w:val="2"/>
      </w:pPr>
      <w:r>
        <w:rPr>
          <w:rFonts w:ascii="Arial" w:hAnsi="Arial"/>
          <w:color w:val="E53935"/>
        </w:rPr>
        <w:t>3. WCAG Principle 2: Operable</w:t>
      </w:r>
    </w:p>
    <w:p w14:paraId="7CB07CA0">
      <w:r>
        <w:rPr>
          <w:rFonts w:ascii="Arial" w:hAnsi="Arial"/>
          <w:b w:val="0"/>
          <w:i w:val="0"/>
          <w:sz w:val="22"/>
        </w:rPr>
        <w:t>User interface components and navigation must be operable.</w:t>
      </w:r>
    </w:p>
    <w:p w14:paraId="17E498E4">
      <w:pPr>
        <w:pStyle w:val="23"/>
      </w:pPr>
      <w:r>
        <w:rPr>
          <w:rFonts w:ascii="Arial" w:hAnsi="Arial"/>
          <w:sz w:val="22"/>
        </w:rPr>
        <w:t>2.1.1 Keyboard: Every action available via mouse is also actionable via keyboard. We implemented custom focus management for the 3D Planner module.</w:t>
      </w:r>
    </w:p>
    <w:p w14:paraId="38CC6BDC">
      <w:pPr>
        <w:pStyle w:val="23"/>
      </w:pPr>
      <w:r>
        <w:rPr>
          <w:rFonts w:ascii="Arial" w:hAnsi="Arial"/>
          <w:sz w:val="22"/>
        </w:rPr>
        <w:t>2.4.3 Focus Order: We verified that the tab order follows a logical, intuitive path across all dashboard modules.</w:t>
      </w:r>
    </w:p>
    <w:p w14:paraId="4A2D68BE">
      <w:pPr>
        <w:pStyle w:val="2"/>
      </w:pPr>
      <w:r>
        <w:rPr>
          <w:rFonts w:ascii="Arial" w:hAnsi="Arial"/>
          <w:color w:val="E53935"/>
        </w:rPr>
        <w:t>4. WCAG Principle 3: Understandable</w:t>
      </w:r>
    </w:p>
    <w:p w14:paraId="23F4933B">
      <w:pPr>
        <w:pStyle w:val="23"/>
      </w:pPr>
      <w:r>
        <w:rPr>
          <w:rFonts w:ascii="Arial" w:hAnsi="Arial"/>
          <w:sz w:val="22"/>
        </w:rPr>
        <w:t>3.2.1 On Focus / 3.2.2 On Input: The UI remains predictable; no unexpected context changes occur when navigating or filling out forms.</w:t>
      </w:r>
    </w:p>
    <w:p w14:paraId="03C8A5B5">
      <w:pPr>
        <w:pStyle w:val="23"/>
      </w:pPr>
      <w:r>
        <w:rPr>
          <w:rFonts w:ascii="Arial" w:hAnsi="Arial"/>
          <w:sz w:val="22"/>
        </w:rPr>
        <w:t>3.3.1 Error Identification: Validation errors are identified via text and icons, ensuring they are perceivable by users with color blindness.</w:t>
      </w:r>
    </w:p>
    <w:p w14:paraId="275C0A6B">
      <w:pPr>
        <w:pStyle w:val="2"/>
      </w:pPr>
      <w:r>
        <w:rPr>
          <w:rFonts w:ascii="Arial" w:hAnsi="Arial"/>
          <w:color w:val="E53935"/>
        </w:rPr>
        <w:t>5. Technical Remediation &amp; Audit Findings</w:t>
      </w:r>
    </w:p>
    <w:p w14:paraId="204CA8E4">
      <w:r>
        <w:rPr>
          <w:rFonts w:ascii="Arial" w:hAnsi="Arial"/>
          <w:b w:val="0"/>
          <w:i w:val="0"/>
          <w:sz w:val="22"/>
        </w:rPr>
        <w:t>During the development lifecycle, we identified and remediated several key accessibility hurdles: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AC14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9488525">
            <w:pPr>
              <w:spacing w:after="0" w:line="240" w:lineRule="auto"/>
            </w:pPr>
            <w:r>
              <w:t>Component</w:t>
            </w:r>
          </w:p>
        </w:tc>
        <w:tc>
          <w:tcPr>
            <w:tcW w:w="2160" w:type="dxa"/>
          </w:tcPr>
          <w:p w14:paraId="1429E8FE">
            <w:pPr>
              <w:spacing w:after="0" w:line="240" w:lineRule="auto"/>
            </w:pPr>
            <w:r>
              <w:t>Detected Issue</w:t>
            </w:r>
          </w:p>
        </w:tc>
        <w:tc>
          <w:tcPr>
            <w:tcW w:w="2160" w:type="dxa"/>
          </w:tcPr>
          <w:p w14:paraId="745FC0F2">
            <w:pPr>
              <w:spacing w:after="0" w:line="240" w:lineRule="auto"/>
            </w:pPr>
            <w:r>
              <w:t>Remediation</w:t>
            </w:r>
          </w:p>
        </w:tc>
        <w:tc>
          <w:tcPr>
            <w:tcW w:w="2160" w:type="dxa"/>
          </w:tcPr>
          <w:p w14:paraId="223B3066">
            <w:pPr>
              <w:spacing w:after="0" w:line="240" w:lineRule="auto"/>
            </w:pPr>
            <w:r>
              <w:t>Status</w:t>
            </w:r>
          </w:p>
        </w:tc>
      </w:tr>
      <w:tr w14:paraId="7249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6679768">
            <w:pPr>
              <w:spacing w:after="0" w:line="240" w:lineRule="auto"/>
            </w:pPr>
            <w:r>
              <w:t>Global Navbar</w:t>
            </w:r>
          </w:p>
        </w:tc>
        <w:tc>
          <w:tcPr>
            <w:tcW w:w="2160" w:type="dxa"/>
          </w:tcPr>
          <w:p w14:paraId="7812651D">
            <w:pPr>
              <w:spacing w:after="0" w:line="240" w:lineRule="auto"/>
            </w:pPr>
            <w:r>
              <w:t>Landmark issues</w:t>
            </w:r>
          </w:p>
        </w:tc>
        <w:tc>
          <w:tcPr>
            <w:tcW w:w="2160" w:type="dxa"/>
          </w:tcPr>
          <w:p w14:paraId="3E24D099">
            <w:pPr>
              <w:spacing w:after="0" w:line="240" w:lineRule="auto"/>
            </w:pPr>
            <w:r>
              <w:t>Added &lt;nav&gt; role</w:t>
            </w:r>
          </w:p>
        </w:tc>
        <w:tc>
          <w:tcPr>
            <w:tcW w:w="2160" w:type="dxa"/>
          </w:tcPr>
          <w:p w14:paraId="5DFB2A50">
            <w:pPr>
              <w:spacing w:after="0" w:line="240" w:lineRule="auto"/>
            </w:pPr>
            <w:r>
              <w:t>Fixed</w:t>
            </w:r>
          </w:p>
        </w:tc>
      </w:tr>
      <w:tr w14:paraId="1B2D2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BB784F">
            <w:pPr>
              <w:spacing w:after="0" w:line="240" w:lineRule="auto"/>
            </w:pPr>
            <w:r>
              <w:t>Supplier Forms</w:t>
            </w:r>
          </w:p>
        </w:tc>
        <w:tc>
          <w:tcPr>
            <w:tcW w:w="2160" w:type="dxa"/>
          </w:tcPr>
          <w:p w14:paraId="5CB03CAB">
            <w:pPr>
              <w:spacing w:after="0" w:line="240" w:lineRule="auto"/>
            </w:pPr>
            <w:r>
              <w:t>Missing labels</w:t>
            </w:r>
          </w:p>
        </w:tc>
        <w:tc>
          <w:tcPr>
            <w:tcW w:w="2160" w:type="dxa"/>
          </w:tcPr>
          <w:p w14:paraId="4DEB8ADC">
            <w:pPr>
              <w:spacing w:after="0" w:line="240" w:lineRule="auto"/>
            </w:pPr>
            <w:r>
              <w:t>Linked &lt;label&gt; for ID</w:t>
            </w:r>
          </w:p>
        </w:tc>
        <w:tc>
          <w:tcPr>
            <w:tcW w:w="2160" w:type="dxa"/>
          </w:tcPr>
          <w:p w14:paraId="117B1A6A">
            <w:pPr>
              <w:spacing w:after="0" w:line="240" w:lineRule="auto"/>
            </w:pPr>
            <w:r>
              <w:t>Fixed</w:t>
            </w:r>
          </w:p>
        </w:tc>
      </w:tr>
      <w:tr w14:paraId="3297E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D0E1407">
            <w:pPr>
              <w:spacing w:after="0" w:line="240" w:lineRule="auto"/>
            </w:pPr>
            <w:r>
              <w:t>Auth Modals</w:t>
            </w:r>
          </w:p>
        </w:tc>
        <w:tc>
          <w:tcPr>
            <w:tcW w:w="2160" w:type="dxa"/>
          </w:tcPr>
          <w:p w14:paraId="2003DBC4">
            <w:pPr>
              <w:spacing w:after="0" w:line="240" w:lineRule="auto"/>
            </w:pPr>
            <w:r>
              <w:t>Keyboard Trap</w:t>
            </w:r>
          </w:p>
        </w:tc>
        <w:tc>
          <w:tcPr>
            <w:tcW w:w="2160" w:type="dxa"/>
          </w:tcPr>
          <w:p w14:paraId="22A47B74">
            <w:pPr>
              <w:spacing w:after="0" w:line="240" w:lineRule="auto"/>
            </w:pPr>
            <w:r>
              <w:t>Focus trapping logic</w:t>
            </w:r>
          </w:p>
        </w:tc>
        <w:tc>
          <w:tcPr>
            <w:tcW w:w="2160" w:type="dxa"/>
          </w:tcPr>
          <w:p w14:paraId="53B1AB32">
            <w:pPr>
              <w:spacing w:after="0" w:line="240" w:lineRule="auto"/>
            </w:pPr>
            <w:r>
              <w:t>Fixed</w:t>
            </w:r>
          </w:p>
        </w:tc>
      </w:tr>
      <w:tr w14:paraId="78F35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75B27F2">
            <w:pPr>
              <w:spacing w:after="0" w:line="240" w:lineRule="auto"/>
            </w:pPr>
            <w:r>
              <w:t>Price Radar</w:t>
            </w:r>
          </w:p>
        </w:tc>
        <w:tc>
          <w:tcPr>
            <w:tcW w:w="2160" w:type="dxa"/>
          </w:tcPr>
          <w:p w14:paraId="44E22527">
            <w:pPr>
              <w:spacing w:after="0" w:line="240" w:lineRule="auto"/>
            </w:pPr>
            <w:r>
              <w:t>Color-only charts</w:t>
            </w:r>
          </w:p>
        </w:tc>
        <w:tc>
          <w:tcPr>
            <w:tcW w:w="2160" w:type="dxa"/>
          </w:tcPr>
          <w:p w14:paraId="50E43030">
            <w:pPr>
              <w:spacing w:after="0" w:line="240" w:lineRule="auto"/>
            </w:pPr>
            <w:r>
              <w:t>Added patterns/labels</w:t>
            </w:r>
          </w:p>
        </w:tc>
        <w:tc>
          <w:tcPr>
            <w:tcW w:w="2160" w:type="dxa"/>
          </w:tcPr>
          <w:p w14:paraId="5FC34686">
            <w:pPr>
              <w:spacing w:after="0" w:line="240" w:lineRule="auto"/>
            </w:pPr>
            <w:r>
              <w:t>Fixed</w:t>
            </w:r>
          </w:p>
        </w:tc>
      </w:tr>
    </w:tbl>
    <w:p w14:paraId="1808EA3B">
      <w:pPr>
        <w:pStyle w:val="2"/>
      </w:pPr>
      <w:r>
        <w:rPr>
          <w:rFonts w:ascii="Arial" w:hAnsi="Arial"/>
          <w:color w:val="E53935"/>
        </w:rPr>
        <w:t>6. Assistive Technology Compatibility</w:t>
      </w:r>
    </w:p>
    <w:p w14:paraId="14DAB794">
      <w:r>
        <w:rPr>
          <w:rFonts w:ascii="Arial" w:hAnsi="Arial"/>
          <w:b w:val="0"/>
          <w:i w:val="0"/>
          <w:sz w:val="22"/>
        </w:rPr>
        <w:t>We conducted extensive testing with modern screen readers to ensure a professional experience:</w:t>
      </w:r>
    </w:p>
    <w:p w14:paraId="13BE6213">
      <w:pPr>
        <w:pStyle w:val="23"/>
      </w:pPr>
      <w:r>
        <w:rPr>
          <w:rFonts w:ascii="Arial" w:hAnsi="Arial"/>
          <w:sz w:val="22"/>
        </w:rPr>
        <w:t>NVDA (Windows): Verified logical heading structure and landmark navigation.</w:t>
      </w:r>
    </w:p>
    <w:p w14:paraId="77EEA818">
      <w:pPr>
        <w:pStyle w:val="23"/>
      </w:pPr>
      <w:r>
        <w:rPr>
          <w:rFonts w:ascii="Arial" w:hAnsi="Arial"/>
          <w:sz w:val="22"/>
        </w:rPr>
        <w:t>VoiceOver (iOS): Verified touch-gesture navigation and form field announcements.</w:t>
      </w:r>
    </w:p>
    <w:p w14:paraId="496440D7">
      <w:pPr>
        <w:pStyle w:val="2"/>
      </w:pPr>
      <w:r>
        <w:rPr>
          <w:rFonts w:ascii="Arial" w:hAnsi="Arial"/>
          <w:color w:val="E53935"/>
        </w:rPr>
        <w:t>7. Conclusion</w:t>
      </w:r>
    </w:p>
    <w:p w14:paraId="00825DC7">
      <w:r>
        <w:rPr>
          <w:rFonts w:hint="default" w:ascii="Arial" w:hAnsi="Arial"/>
          <w:b w:val="0"/>
          <w:i w:val="0"/>
          <w:sz w:val="22"/>
          <w:lang w:val="fr-FR"/>
        </w:rPr>
        <w:t>Artisant</w:t>
      </w:r>
      <w:r>
        <w:rPr>
          <w:rFonts w:ascii="Arial" w:hAnsi="Arial"/>
          <w:b w:val="0"/>
          <w:i w:val="0"/>
          <w:sz w:val="22"/>
        </w:rPr>
        <w:t xml:space="preserve"> is fully compliant with WCAG 2.1 Level AA. This ensures that the BTP industry's digital transition remains inclusive and accessible to all professionals.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230E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351</Words>
  <Characters>2090</Characters>
  <Lines>0</Lines>
  <Paragraphs>0</Paragraphs>
  <TotalTime>1</TotalTime>
  <ScaleCrop>false</ScaleCrop>
  <LinksUpToDate>false</LinksUpToDate>
  <CharactersWithSpaces>2398</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Imem Ayachi</cp:lastModifiedBy>
  <dcterms:modified xsi:type="dcterms:W3CDTF">2026-05-04T22:22:53Z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eyJoZGlkIjoiMDM4OGMzMDc3NGY2NzI4N2Y0OTQxYTdjMDA2YWY3NjYiLCJ1c2VySWQiOiIzNzI4NzIzOTA1NjY3In0=</vt:lpwstr>
  </property>
  <property fmtid="{D5CDD505-2E9C-101B-9397-08002B2CF9AE}" pid="3" name="KSOProductBuildVer">
    <vt:lpwstr>1033-12.1.0.25862</vt:lpwstr>
  </property>
  <property fmtid="{D5CDD505-2E9C-101B-9397-08002B2CF9AE}" pid="4" name="ICV">
    <vt:lpwstr>EEA80A74477F434FB3C15BC0068B6EA0_12</vt:lpwstr>
  </property>
</Properties>
</file>