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2D5A5A"/>
          <w:sz w:val="56"/>
        </w:rPr>
        <w:t>PERFORMANCE ENGINEERING &amp; AUDIT REPORT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D5A5A"/>
        </w:rPr>
        <w:t>1. Executive Summary</w:t>
      </w:r>
    </w:p>
    <w:p>
      <w:r>
        <w:rPr>
          <w:rFonts w:ascii="Arial" w:hAnsi="Arial"/>
          <w:b w:val="0"/>
          <w:sz w:val="22"/>
        </w:rPr>
        <w:t>The Artisant platform is a high-performance marketplace designed for the BTP sector. This report documents the extensive performance engineering lifecycle.</w:t>
      </w:r>
    </w:p>
    <w:p>
      <w:r>
        <w:rPr>
          <w:rFonts w:ascii="Arial" w:hAnsi="Arial"/>
          <w:b w:val="0"/>
          <w:sz w:val="22"/>
        </w:rPr>
        <w:t>Our primary objectives were to achieve a sub-1.2s Largest Contentful Paint (LCP) and ensure high availability of our geometry services.</w:t>
      </w:r>
    </w:p>
    <w:p>
      <w:pPr>
        <w:pStyle w:val="Heading1"/>
      </w:pPr>
      <w:r>
        <w:rPr>
          <w:rFonts w:ascii="Arial" w:hAnsi="Arial"/>
          <w:color w:val="2D5A5A"/>
        </w:rPr>
        <w:t>2. Audit Methodology &amp; Tooling</w:t>
      </w:r>
    </w:p>
    <w:p>
      <w:pPr>
        <w:pStyle w:val="ListBullet"/>
      </w:pPr>
      <w:r>
        <w:rPr>
          <w:rFonts w:ascii="Arial" w:hAnsi="Arial"/>
          <w:sz w:val="22"/>
        </w:rPr>
        <w:t>Lighthouse &amp; Unlighthouse: Site-wide auditing for Core Web Vitals.</w:t>
      </w:r>
    </w:p>
    <w:p>
      <w:pPr>
        <w:pStyle w:val="ListBullet"/>
      </w:pPr>
      <w:r>
        <w:rPr>
          <w:rFonts w:ascii="Arial" w:hAnsi="Arial"/>
          <w:sz w:val="22"/>
        </w:rPr>
        <w:t>K6 (Grafana Labs): Distributed load testing for 500+ concurrent users.</w:t>
      </w:r>
    </w:p>
    <w:p>
      <w:pPr>
        <w:pStyle w:val="ListBullet"/>
      </w:pPr>
      <w:r>
        <w:rPr>
          <w:rFonts w:ascii="Arial" w:hAnsi="Arial"/>
          <w:sz w:val="22"/>
        </w:rPr>
        <w:t>Prometheus &amp; Grafana: Real-time infrastructure monitoring.</w:t>
      </w:r>
    </w:p>
    <w:p>
      <w:pPr>
        <w:pStyle w:val="Heading1"/>
      </w:pPr>
      <w:r>
        <w:rPr>
          <w:rFonts w:ascii="Arial" w:hAnsi="Arial"/>
          <w:color w:val="2D5A5A"/>
        </w:rPr>
        <w:t>3. Client-Side Analysis</w:t>
      </w:r>
    </w:p>
    <w:p>
      <w:r>
        <w:rPr>
          <w:rFonts w:ascii="Arial" w:hAnsi="Arial"/>
          <w:b w:val="0"/>
          <w:sz w:val="22"/>
        </w:rPr>
        <w:t>By implementing route-based code splitting and Vite 8 optimizations, we reduced the initial bundle size from 1.8MB to 420KB.</w:t>
      </w:r>
    </w:p>
    <w:p>
      <w:pPr>
        <w:pStyle w:val="Heading1"/>
      </w:pPr>
      <w:r>
        <w:rPr>
          <w:rFonts w:ascii="Arial" w:hAnsi="Arial"/>
          <w:color w:val="2D5A5A"/>
        </w:rPr>
        <w:t>4. Server &amp; Database Performance</w:t>
      </w:r>
    </w:p>
    <w:p>
      <w:r>
        <w:rPr>
          <w:rFonts w:ascii="Arial" w:hAnsi="Arial"/>
          <w:b w:val="0"/>
          <w:sz w:val="22"/>
        </w:rPr>
        <w:t>Implementation of Redis caching and MongoDB compound indices resulted in a 95% reduction in search query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