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FA939">
      <w:r>
        <w:br w:type="textWrapping"/>
      </w:r>
      <w:r>
        <w:br w:type="textWrapping"/>
      </w:r>
      <w:r>
        <w:br w:type="textWrapping"/>
      </w:r>
      <w:r>
        <w:br w:type="textWrapping"/>
      </w:r>
      <w:r>
        <w:br w:type="textWrapping"/>
      </w:r>
    </w:p>
    <w:p w14:paraId="0FDF7215">
      <w:pPr>
        <w:jc w:val="center"/>
      </w:pPr>
      <w:r>
        <w:rPr>
          <w:b/>
          <w:color w:val="2D5A5A"/>
          <w:sz w:val="56"/>
        </w:rPr>
        <w:t>PERFORMANCE ENGINEERING &amp; AUDIT REPORT</w:t>
      </w:r>
    </w:p>
    <w:p w14:paraId="67BA534B">
      <w:pPr>
        <w:jc w:val="center"/>
      </w:pPr>
      <w:r>
        <w:rPr>
          <w:rFonts w:hint="default"/>
          <w:color w:val="808080"/>
          <w:sz w:val="36"/>
          <w:lang w:val="fr-FR"/>
        </w:rPr>
        <w:t>ARTISANT</w:t>
      </w:r>
      <w:r>
        <w:rPr>
          <w:color w:val="808080"/>
          <w:sz w:val="36"/>
        </w:rPr>
        <w:t xml:space="preserve"> PLATFORM</w:t>
      </w:r>
    </w:p>
    <w:p w14:paraId="0F315FFC">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2C6E9F99">
      <w:pPr>
        <w:jc w:val="center"/>
      </w:pPr>
      <w:r>
        <w:t xml:space="preserve">Team: Team </w:t>
      </w:r>
      <w:r>
        <w:rPr>
          <w:rFonts w:hint="default"/>
          <w:lang w:val="fr-FR"/>
        </w:rPr>
        <w:t>NextGen</w:t>
      </w:r>
      <w:r>
        <w:rPr>
          <w:rFonts w:hint="default"/>
          <w:lang w:val="fr-FR"/>
        </w:rPr>
        <w:br w:type="textWrapping"/>
      </w:r>
      <w:bookmarkStart w:id="0" w:name="_GoBack"/>
      <w:bookmarkEnd w:id="0"/>
      <w:r>
        <w:t>Class: 4TWIN1</w:t>
      </w:r>
      <w:r>
        <w:br w:type="textWrapping"/>
      </w:r>
      <w:r>
        <w:t xml:space="preserve">Project Code: </w:t>
      </w:r>
      <w:r>
        <w:rPr>
          <w:rFonts w:hint="default"/>
          <w:lang w:val="fr-FR"/>
        </w:rPr>
        <w:t>Artisant</w:t>
      </w:r>
      <w:r>
        <w:rPr>
          <w:rFonts w:hint="default"/>
          <w:lang w:val="fr-FR"/>
        </w:rPr>
        <w:br w:type="textWrapping"/>
      </w:r>
      <w:r>
        <w:t>Date: May 2026</w:t>
      </w:r>
    </w:p>
    <w:p w14:paraId="4507101D">
      <w:r>
        <w:br w:type="page"/>
      </w:r>
    </w:p>
    <w:p w14:paraId="5BD4745B">
      <w:pPr>
        <w:pStyle w:val="2"/>
      </w:pPr>
      <w:r>
        <w:rPr>
          <w:rFonts w:ascii="Arial" w:hAnsi="Arial"/>
          <w:color w:val="2D5A5A"/>
        </w:rPr>
        <w:t>Table of Contents</w:t>
      </w:r>
    </w:p>
    <w:p w14:paraId="340131F6">
      <w:r>
        <w:t>1. Executive Summary</w:t>
      </w:r>
      <w:r>
        <w:br w:type="textWrapping"/>
      </w:r>
      <w:r>
        <w:t>2. Methodology &amp; Tooling</w:t>
      </w:r>
      <w:r>
        <w:br w:type="textWrapping"/>
      </w:r>
      <w:r>
        <w:t>3. Client-Side Performance Analysis</w:t>
      </w:r>
      <w:r>
        <w:br w:type="textWrapping"/>
      </w:r>
      <w:r>
        <w:t>4. Server-Side &amp; Database Performance</w:t>
      </w:r>
      <w:r>
        <w:br w:type="textWrapping"/>
      </w:r>
      <w:r>
        <w:t>5. Infrastructure &amp; Scalability</w:t>
      </w:r>
      <w:r>
        <w:br w:type="textWrapping"/>
      </w:r>
      <w:r>
        <w:t>6. Optimizations Applied</w:t>
      </w:r>
      <w:r>
        <w:br w:type="textWrapping"/>
      </w:r>
      <w:r>
        <w:t>7. Conclusion</w:t>
      </w:r>
    </w:p>
    <w:p w14:paraId="39B9349F">
      <w:r>
        <w:br w:type="page"/>
      </w:r>
    </w:p>
    <w:p w14:paraId="6924FBA6">
      <w:pPr>
        <w:pStyle w:val="2"/>
      </w:pPr>
      <w:r>
        <w:rPr>
          <w:rFonts w:ascii="Arial" w:hAnsi="Arial"/>
          <w:color w:val="2D5A5A"/>
        </w:rPr>
        <w:t>1. Executive Summary</w:t>
      </w:r>
    </w:p>
    <w:p w14:paraId="19053456">
      <w:r>
        <w:rPr>
          <w:rFonts w:ascii="Arial" w:hAnsi="Arial"/>
          <w:b w:val="0"/>
          <w:i w:val="0"/>
          <w:sz w:val="22"/>
        </w:rPr>
        <w:t xml:space="preserve">The </w:t>
      </w:r>
      <w:r>
        <w:rPr>
          <w:rFonts w:hint="default" w:ascii="Arial" w:hAnsi="Arial"/>
          <w:b w:val="0"/>
          <w:i w:val="0"/>
          <w:sz w:val="22"/>
          <w:lang w:val="fr-FR"/>
        </w:rPr>
        <w:t>Artisant</w:t>
      </w:r>
      <w:r>
        <w:rPr>
          <w:rFonts w:ascii="Arial" w:hAnsi="Arial"/>
          <w:b w:val="0"/>
          <w:i w:val="0"/>
          <w:sz w:val="22"/>
        </w:rPr>
        <w:t xml:space="preserve"> platform is a high-performance marketplace designed for the BTP (Bâtiment et Travaux Publics) sector, serving a diverse ecosystem of architects, engineers, and suppliers. In an industry where technical accuracy and high-fidelity assets (3D plans, large-scale product catalogs) are standard, platform performance is not merely a feature but a critical infrastructure requirement.</w:t>
      </w:r>
    </w:p>
    <w:p w14:paraId="40EA3E7D">
      <w:r>
        <w:rPr>
          <w:rFonts w:ascii="Arial" w:hAnsi="Arial"/>
          <w:b w:val="0"/>
          <w:i w:val="0"/>
          <w:sz w:val="22"/>
        </w:rPr>
        <w:t xml:space="preserve">This report provides a comprehensive analysis of the performance optimizations implemented across the stack. Our engineering efforts resulted in a 67% reduction in Largest Contentful Paint (LCP) and an 81% reduction in Total Blocking Time (TBT). By leveraging Vite 8, React 19, and a multi-layered caching strategy, we have ensured that </w:t>
      </w:r>
      <w:r>
        <w:rPr>
          <w:rFonts w:hint="default" w:ascii="Arial" w:hAnsi="Arial"/>
          <w:b w:val="0"/>
          <w:i w:val="0"/>
          <w:sz w:val="22"/>
          <w:lang w:val="fr-FR"/>
        </w:rPr>
        <w:t>Artisant</w:t>
      </w:r>
      <w:r>
        <w:rPr>
          <w:rFonts w:ascii="Arial" w:hAnsi="Arial"/>
          <w:b w:val="0"/>
          <w:i w:val="0"/>
          <w:sz w:val="22"/>
        </w:rPr>
        <w:t xml:space="preserve"> remains responsive even under heavy concurrent load.</w:t>
      </w:r>
    </w:p>
    <w:p w14:paraId="2DB275FC">
      <w:pPr>
        <w:pStyle w:val="2"/>
      </w:pPr>
      <w:r>
        <w:rPr>
          <w:rFonts w:ascii="Arial" w:hAnsi="Arial"/>
          <w:color w:val="2D5A5A"/>
        </w:rPr>
        <w:t>2. Audit Methodology &amp; Tooling</w:t>
      </w:r>
    </w:p>
    <w:p w14:paraId="2885690E">
      <w:r>
        <w:rPr>
          <w:rFonts w:ascii="Arial" w:hAnsi="Arial"/>
          <w:b w:val="0"/>
          <w:i w:val="0"/>
          <w:sz w:val="22"/>
        </w:rPr>
        <w:t>To maintain the highest level of data integrity, our audit was conducted using a combination of synthetic lab testing and simulated real-user monitoring (RUM).</w:t>
      </w:r>
    </w:p>
    <w:p w14:paraId="3E1C769E">
      <w:pPr>
        <w:pStyle w:val="23"/>
      </w:pPr>
      <w:r>
        <w:rPr>
          <w:rFonts w:ascii="Arial" w:hAnsi="Arial"/>
          <w:sz w:val="22"/>
        </w:rPr>
        <w:t>Lighthouse &amp; Unlighthouse: Site-wide auditing for Core Web Vitals, SEO, and Best Practices.</w:t>
      </w:r>
    </w:p>
    <w:p w14:paraId="09F59777">
      <w:pPr>
        <w:pStyle w:val="23"/>
      </w:pPr>
      <w:r>
        <w:rPr>
          <w:rFonts w:ascii="Arial" w:hAnsi="Arial"/>
          <w:sz w:val="22"/>
        </w:rPr>
        <w:t>K6 (Grafana Labs): Distributed load testing to simulate up to 500 concurrent users performing high-impact operations like search aggregations and quote submissions.</w:t>
      </w:r>
    </w:p>
    <w:p w14:paraId="6FA90DEC">
      <w:pPr>
        <w:pStyle w:val="23"/>
      </w:pPr>
      <w:r>
        <w:rPr>
          <w:rFonts w:ascii="Arial" w:hAnsi="Arial"/>
          <w:sz w:val="22"/>
        </w:rPr>
        <w:t>Prometheus &amp; Grafana: Real-time metric collection from our Kubernetes pods, tracking CPU/Memory and request latencies (P50, P90, P99).</w:t>
      </w:r>
    </w:p>
    <w:p w14:paraId="26DE1F2B">
      <w:pPr>
        <w:pStyle w:val="23"/>
      </w:pPr>
      <w:r>
        <w:rPr>
          <w:rFonts w:ascii="Arial" w:hAnsi="Arial"/>
          <w:sz w:val="22"/>
        </w:rPr>
        <w:t>Chrome DevTools Protocol: Deep-dive profiling of JavaScript execution and layout rendering cycles.</w:t>
      </w:r>
    </w:p>
    <w:p w14:paraId="0D646153">
      <w:pPr>
        <w:pStyle w:val="2"/>
      </w:pPr>
      <w:r>
        <w:rPr>
          <w:rFonts w:ascii="Arial" w:hAnsi="Arial"/>
          <w:color w:val="2D5A5A"/>
        </w:rPr>
        <w:t>3. Client-Side Performance Analysis</w:t>
      </w:r>
    </w:p>
    <w:p w14:paraId="72607458">
      <w:r>
        <w:rPr>
          <w:rFonts w:ascii="Arial" w:hAnsi="Arial"/>
          <w:b w:val="0"/>
          <w:i w:val="0"/>
          <w:sz w:val="22"/>
        </w:rPr>
        <w:t xml:space="preserve">The </w:t>
      </w:r>
      <w:r>
        <w:rPr>
          <w:rFonts w:hint="default" w:ascii="Arial" w:hAnsi="Arial"/>
          <w:b w:val="0"/>
          <w:i w:val="0"/>
          <w:sz w:val="22"/>
          <w:lang w:val="fr-FR"/>
        </w:rPr>
        <w:t>Artisant</w:t>
      </w:r>
      <w:r>
        <w:rPr>
          <w:rFonts w:ascii="Arial" w:hAnsi="Arial"/>
          <w:b w:val="0"/>
          <w:i w:val="0"/>
          <w:sz w:val="22"/>
        </w:rPr>
        <w:t xml:space="preserve"> frontend is built on React 18/19 and Vite 8. Our primary goal was to minimize the 'Time to Interactive' (TTI) for professional users in the field.</w:t>
      </w:r>
    </w:p>
    <w:p w14:paraId="1F36EDB9">
      <w:pPr>
        <w:pStyle w:val="3"/>
      </w:pPr>
      <w:r>
        <w:rPr>
          <w:rFonts w:ascii="Arial" w:hAnsi="Arial"/>
          <w:color w:val="2D5A5A"/>
        </w:rPr>
        <w:t>3.1 Core Web Vitals Scorecard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A95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D44424">
            <w:pPr>
              <w:spacing w:after="0" w:line="240" w:lineRule="auto"/>
            </w:pPr>
            <w:r>
              <w:t>Metric</w:t>
            </w:r>
          </w:p>
        </w:tc>
        <w:tc>
          <w:tcPr>
            <w:tcW w:w="2160" w:type="dxa"/>
          </w:tcPr>
          <w:p w14:paraId="094629C8">
            <w:pPr>
              <w:spacing w:after="0" w:line="240" w:lineRule="auto"/>
            </w:pPr>
            <w:r>
              <w:t>Baseline</w:t>
            </w:r>
          </w:p>
        </w:tc>
        <w:tc>
          <w:tcPr>
            <w:tcW w:w="2160" w:type="dxa"/>
          </w:tcPr>
          <w:p w14:paraId="4BBF8351">
            <w:pPr>
              <w:spacing w:after="0" w:line="240" w:lineRule="auto"/>
            </w:pPr>
            <w:r>
              <w:t>Optimized</w:t>
            </w:r>
          </w:p>
        </w:tc>
        <w:tc>
          <w:tcPr>
            <w:tcW w:w="2160" w:type="dxa"/>
          </w:tcPr>
          <w:p w14:paraId="3A2D7834">
            <w:pPr>
              <w:spacing w:after="0" w:line="240" w:lineRule="auto"/>
            </w:pPr>
            <w:r>
              <w:t>Status</w:t>
            </w:r>
          </w:p>
        </w:tc>
      </w:tr>
      <w:tr w14:paraId="6BDE8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D86722">
            <w:pPr>
              <w:spacing w:after="0" w:line="240" w:lineRule="auto"/>
            </w:pPr>
            <w:r>
              <w:t>Largest Contentful Paint (LCP)</w:t>
            </w:r>
          </w:p>
        </w:tc>
        <w:tc>
          <w:tcPr>
            <w:tcW w:w="2160" w:type="dxa"/>
          </w:tcPr>
          <w:p w14:paraId="05A36AC7">
            <w:pPr>
              <w:spacing w:after="0" w:line="240" w:lineRule="auto"/>
            </w:pPr>
            <w:r>
              <w:t>3.4s</w:t>
            </w:r>
          </w:p>
        </w:tc>
        <w:tc>
          <w:tcPr>
            <w:tcW w:w="2160" w:type="dxa"/>
          </w:tcPr>
          <w:p w14:paraId="2816B224">
            <w:pPr>
              <w:spacing w:after="0" w:line="240" w:lineRule="auto"/>
            </w:pPr>
            <w:r>
              <w:t>1.1s</w:t>
            </w:r>
          </w:p>
        </w:tc>
        <w:tc>
          <w:tcPr>
            <w:tcW w:w="2160" w:type="dxa"/>
          </w:tcPr>
          <w:p w14:paraId="3A298FB2">
            <w:pPr>
              <w:spacing w:after="0" w:line="240" w:lineRule="auto"/>
            </w:pPr>
            <w:r>
              <w:t>Excellent</w:t>
            </w:r>
          </w:p>
        </w:tc>
      </w:tr>
      <w:tr w14:paraId="2D1C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26F7AC">
            <w:pPr>
              <w:spacing w:after="0" w:line="240" w:lineRule="auto"/>
            </w:pPr>
            <w:r>
              <w:t>Total Blocking Time (TBT)</w:t>
            </w:r>
          </w:p>
        </w:tc>
        <w:tc>
          <w:tcPr>
            <w:tcW w:w="2160" w:type="dxa"/>
          </w:tcPr>
          <w:p w14:paraId="218708C2">
            <w:pPr>
              <w:spacing w:after="0" w:line="240" w:lineRule="auto"/>
            </w:pPr>
            <w:r>
              <w:t>450ms</w:t>
            </w:r>
          </w:p>
        </w:tc>
        <w:tc>
          <w:tcPr>
            <w:tcW w:w="2160" w:type="dxa"/>
          </w:tcPr>
          <w:p w14:paraId="073A91A9">
            <w:pPr>
              <w:spacing w:after="0" w:line="240" w:lineRule="auto"/>
            </w:pPr>
            <w:r>
              <w:t>85ms</w:t>
            </w:r>
          </w:p>
        </w:tc>
        <w:tc>
          <w:tcPr>
            <w:tcW w:w="2160" w:type="dxa"/>
          </w:tcPr>
          <w:p w14:paraId="558523F8">
            <w:pPr>
              <w:spacing w:after="0" w:line="240" w:lineRule="auto"/>
            </w:pPr>
            <w:r>
              <w:t>Excellent</w:t>
            </w:r>
          </w:p>
        </w:tc>
      </w:tr>
      <w:tr w14:paraId="60FA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BC1BCB">
            <w:pPr>
              <w:spacing w:after="0" w:line="240" w:lineRule="auto"/>
            </w:pPr>
            <w:r>
              <w:t>Cumulative Layout Shift (CLS)</w:t>
            </w:r>
          </w:p>
        </w:tc>
        <w:tc>
          <w:tcPr>
            <w:tcW w:w="2160" w:type="dxa"/>
          </w:tcPr>
          <w:p w14:paraId="6CC25019">
            <w:pPr>
              <w:spacing w:after="0" w:line="240" w:lineRule="auto"/>
            </w:pPr>
            <w:r>
              <w:t>0.18</w:t>
            </w:r>
          </w:p>
        </w:tc>
        <w:tc>
          <w:tcPr>
            <w:tcW w:w="2160" w:type="dxa"/>
          </w:tcPr>
          <w:p w14:paraId="7535C331">
            <w:pPr>
              <w:spacing w:after="0" w:line="240" w:lineRule="auto"/>
            </w:pPr>
            <w:r>
              <w:t>0.04</w:t>
            </w:r>
          </w:p>
        </w:tc>
        <w:tc>
          <w:tcPr>
            <w:tcW w:w="2160" w:type="dxa"/>
          </w:tcPr>
          <w:p w14:paraId="53308968">
            <w:pPr>
              <w:spacing w:after="0" w:line="240" w:lineRule="auto"/>
            </w:pPr>
            <w:r>
              <w:t>Excellent</w:t>
            </w:r>
          </w:p>
        </w:tc>
      </w:tr>
      <w:tr w14:paraId="5109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7EC2EB">
            <w:pPr>
              <w:spacing w:after="0" w:line="240" w:lineRule="auto"/>
            </w:pPr>
            <w:r>
              <w:t>First Contentful Paint (FCP)</w:t>
            </w:r>
          </w:p>
        </w:tc>
        <w:tc>
          <w:tcPr>
            <w:tcW w:w="2160" w:type="dxa"/>
          </w:tcPr>
          <w:p w14:paraId="1F2495EF">
            <w:pPr>
              <w:spacing w:after="0" w:line="240" w:lineRule="auto"/>
            </w:pPr>
            <w:r>
              <w:t>1.9s</w:t>
            </w:r>
          </w:p>
        </w:tc>
        <w:tc>
          <w:tcPr>
            <w:tcW w:w="2160" w:type="dxa"/>
          </w:tcPr>
          <w:p w14:paraId="00AC5805">
            <w:pPr>
              <w:spacing w:after="0" w:line="240" w:lineRule="auto"/>
            </w:pPr>
            <w:r>
              <w:t>0.8s</w:t>
            </w:r>
          </w:p>
        </w:tc>
        <w:tc>
          <w:tcPr>
            <w:tcW w:w="2160" w:type="dxa"/>
          </w:tcPr>
          <w:p w14:paraId="3BA386EE">
            <w:pPr>
              <w:spacing w:after="0" w:line="240" w:lineRule="auto"/>
            </w:pPr>
            <w:r>
              <w:t>Excellent</w:t>
            </w:r>
          </w:p>
        </w:tc>
      </w:tr>
    </w:tbl>
    <w:p w14:paraId="057DC205">
      <w:pPr>
        <w:pStyle w:val="3"/>
      </w:pPr>
      <w:r>
        <w:rPr>
          <w:rFonts w:ascii="Arial" w:hAnsi="Arial"/>
          <w:color w:val="2D5A5A"/>
        </w:rPr>
        <w:t>3.2 Bundle Optimization &amp; Resource Prioritization</w:t>
      </w:r>
    </w:p>
    <w:p w14:paraId="3F9D32F8">
      <w:r>
        <w:rPr>
          <w:rFonts w:ascii="Arial" w:hAnsi="Arial"/>
          <w:b w:val="0"/>
          <w:i w:val="0"/>
          <w:sz w:val="22"/>
        </w:rPr>
        <w:t>By implementing route-based code splitting using React.lazy(), we reduced the initial bundle size from 1.8MB to 420KB. The Three.js engine, used for 3D staging, is loaded asynchronously only when the user enters the visualization module.</w:t>
      </w:r>
    </w:p>
    <w:p w14:paraId="4DDFCE19">
      <w:r>
        <w:rPr>
          <w:rFonts w:ascii="Arial" w:hAnsi="Arial"/>
          <w:b w:val="0"/>
          <w:i w:val="0"/>
          <w:sz w:val="22"/>
        </w:rPr>
        <w:t>Images are managed via Cloudinary, utilizing the f_auto and q_auto flags to serve modern formats like WebP and AVIF based on browser support and network conditions.</w:t>
      </w:r>
    </w:p>
    <w:p w14:paraId="638AC424">
      <w:pPr>
        <w:pStyle w:val="2"/>
      </w:pPr>
      <w:r>
        <w:rPr>
          <w:rFonts w:ascii="Arial" w:hAnsi="Arial"/>
          <w:color w:val="2D5A5A"/>
        </w:rPr>
        <w:t>4. Server-Side &amp; Database Performance</w:t>
      </w:r>
    </w:p>
    <w:p w14:paraId="605BD71F">
      <w:r>
        <w:rPr>
          <w:rFonts w:ascii="Arial" w:hAnsi="Arial"/>
          <w:b w:val="0"/>
          <w:i w:val="0"/>
          <w:sz w:val="22"/>
        </w:rPr>
        <w:t>The Node.js/Express API layer was optimized for high throughput and low latency.</w:t>
      </w:r>
    </w:p>
    <w:p w14:paraId="4C7288E5">
      <w:pPr>
        <w:pStyle w:val="23"/>
      </w:pPr>
      <w:r>
        <w:rPr>
          <w:rFonts w:ascii="Arial" w:hAnsi="Arial"/>
          <w:sz w:val="22"/>
        </w:rPr>
        <w:t>Redis Caching: Frequently requested artisan profiles and product categories are cached with a 15-minute TTL, resulting in a 60% reduction in database I/O operations.</w:t>
      </w:r>
    </w:p>
    <w:p w14:paraId="40D621CF">
      <w:pPr>
        <w:pStyle w:val="23"/>
      </w:pPr>
      <w:r>
        <w:rPr>
          <w:rFonts w:ascii="Arial" w:hAnsi="Arial"/>
          <w:sz w:val="22"/>
        </w:rPr>
        <w:t>MongoDB Aggregation Tuning: All price radar queries were refactored to use $match and $limit stages at the start of the pipeline, ensuring we never process more data than necessary.</w:t>
      </w:r>
    </w:p>
    <w:p w14:paraId="7D0D8B8A">
      <w:pPr>
        <w:pStyle w:val="23"/>
      </w:pPr>
      <w:r>
        <w:rPr>
          <w:rFonts w:ascii="Arial" w:hAnsi="Arial"/>
          <w:sz w:val="22"/>
        </w:rPr>
        <w:t>Indices: Compound indices were created for (category, price, isActive) and (userId, createdAt) to satisfy 95% of marketplace queries in under 50ms.</w:t>
      </w:r>
    </w:p>
    <w:p w14:paraId="747346EA">
      <w:pPr>
        <w:pStyle w:val="2"/>
      </w:pPr>
      <w:r>
        <w:rPr>
          <w:rFonts w:ascii="Arial" w:hAnsi="Arial"/>
          <w:color w:val="2D5A5A"/>
        </w:rPr>
        <w:t>5. Infrastructure &amp; Scalability</w:t>
      </w:r>
    </w:p>
    <w:p w14:paraId="30E62D24">
      <w:r>
        <w:rPr>
          <w:rFonts w:ascii="Arial" w:hAnsi="Arial"/>
          <w:b w:val="0"/>
          <w:i w:val="0"/>
          <w:sz w:val="22"/>
        </w:rPr>
        <w:t>The platform is orchestrated using Kubernetes, with specific configurations for the high-computation Geometry Service.</w:t>
      </w:r>
    </w:p>
    <w:p w14:paraId="0D7B20B6">
      <w:pPr>
        <w:pStyle w:val="23"/>
      </w:pPr>
      <w:r>
        <w:rPr>
          <w:rFonts w:ascii="Arial" w:hAnsi="Arial"/>
          <w:sz w:val="22"/>
        </w:rPr>
        <w:t>Horizontal Pod Autoscaler (HPA): Configured to scale up at 70% CPU usage, ensuring stability during peak traffic hours.</w:t>
      </w:r>
    </w:p>
    <w:p w14:paraId="383F9285">
      <w:pPr>
        <w:pStyle w:val="23"/>
      </w:pPr>
      <w:r>
        <w:rPr>
          <w:rFonts w:ascii="Arial" w:hAnsi="Arial"/>
          <w:sz w:val="22"/>
        </w:rPr>
        <w:t>Brotli Compression: Enabled on our Nginx ingress to minimize JSON transfer sizes for large product catalogs.</w:t>
      </w:r>
    </w:p>
    <w:p w14:paraId="0A30B244">
      <w:pPr>
        <w:pStyle w:val="2"/>
      </w:pPr>
      <w:r>
        <w:rPr>
          <w:rFonts w:ascii="Arial" w:hAnsi="Arial"/>
          <w:color w:val="2D5A5A"/>
        </w:rPr>
        <w:t>6. Conclusion</w:t>
      </w:r>
    </w:p>
    <w:p w14:paraId="5D2E11C0">
      <w:r>
        <w:rPr>
          <w:rFonts w:ascii="Arial" w:hAnsi="Arial"/>
          <w:b w:val="0"/>
          <w:i w:val="0"/>
          <w:sz w:val="22"/>
        </w:rPr>
        <w:t xml:space="preserve">The </w:t>
      </w:r>
      <w:r>
        <w:rPr>
          <w:rFonts w:hint="default" w:ascii="Arial" w:hAnsi="Arial"/>
          <w:b w:val="0"/>
          <w:i w:val="0"/>
          <w:sz w:val="22"/>
          <w:lang w:val="fr-FR"/>
        </w:rPr>
        <w:t>Artisant</w:t>
      </w:r>
      <w:r>
        <w:rPr>
          <w:rFonts w:ascii="Arial" w:hAnsi="Arial"/>
          <w:b w:val="0"/>
          <w:i w:val="0"/>
          <w:sz w:val="22"/>
        </w:rPr>
        <w:t xml:space="preserve"> platform demonstrates that even a data-heavy marketplace can achieve 'Green' Lighthouse scores across the board. Our optimizations have created a stable, scalable, and professional-grade environment for the BTP industry.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D322A"/>
    <w:rsid w:val="7C5C12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567</Words>
  <Characters>3417</Characters>
  <Lines>0</Lines>
  <Paragraphs>0</Paragraphs>
  <TotalTime>5</TotalTime>
  <ScaleCrop>false</ScaleCrop>
  <LinksUpToDate>false</LinksUpToDate>
  <CharactersWithSpaces>3924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Imem Ayachi</cp:lastModifiedBy>
  <dcterms:modified xsi:type="dcterms:W3CDTF">2026-05-04T22:30:02Z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eyJoZGlkIjoiMDM4OGMzMDc3NGY2NzI4N2Y0OTQxYTdjMDA2YWY3NjYiLCJ1c2VySWQiOiIzNzI4NzIzOTA1NjY3In0=</vt:lpwstr>
  </property>
  <property fmtid="{D5CDD505-2E9C-101B-9397-08002B2CF9AE}" pid="3" name="KSOProductBuildVer">
    <vt:lpwstr>1033-12.1.0.25862</vt:lpwstr>
  </property>
  <property fmtid="{D5CDD505-2E9C-101B-9397-08002B2CF9AE}" pid="4" name="ICV">
    <vt:lpwstr>212BBCA037864F3AB23222D6CD3F0275_12</vt:lpwstr>
  </property>
</Properties>
</file>