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center"/>
        <w:rPr>
          <w:rFonts w:ascii="Google Sans" w:hAnsi="Google Sans" w:cs="Google Sans" w:eastAsia="Google Sans"/>
          <w:color w:val="auto"/>
          <w:spacing w:val="0"/>
          <w:position w:val="0"/>
          <w:sz w:val="40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40"/>
          <w:shd w:fill="auto" w:val="clear"/>
        </w:rPr>
        <w:t xml:space="preserve">Controls and compliance checklist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i/>
          <w:color w:val="auto"/>
          <w:spacing w:val="0"/>
          <w:position w:val="0"/>
          <w:sz w:val="24"/>
          <w:shd w:fill="auto" w:val="clear"/>
        </w:rPr>
        <w:t xml:space="preserve">Does Botium Toys currently have this control in place? 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6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4"/>
          <w:shd w:fill="auto" w:val="clear"/>
        </w:rPr>
        <w:t xml:space="preserve">Controls assessment checklist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0"/>
        <w:gridCol w:w="945"/>
        <w:gridCol w:w="7515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No     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Least Privilege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Disaster recovery plans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84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Password policies </w:t>
            </w: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Needs to be updated) at least eight characters, a combination of letters and at least one number; special characters.)</w:t>
            </w:r>
          </w:p>
        </w:tc>
      </w:tr>
      <w:tr>
        <w:trPr>
          <w:trHeight w:val="27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Separation of duties</w:t>
            </w:r>
          </w:p>
        </w:tc>
      </w:tr>
      <w:tr>
        <w:trPr>
          <w:trHeight w:val="24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X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Firewall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Intrusion detection system (IDS)</w:t>
            </w:r>
          </w:p>
        </w:tc>
      </w:tr>
      <w:tr>
        <w:trPr>
          <w:trHeight w:val="30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Backups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X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Antivirus software</w:t>
            </w:r>
          </w:p>
        </w:tc>
      </w:tr>
      <w:tr>
        <w:trPr>
          <w:trHeight w:val="27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Manual monitoring, maintenance, and intervention for legacy systems</w:t>
            </w:r>
          </w:p>
        </w:tc>
      </w:tr>
      <w:tr>
        <w:trPr>
          <w:trHeight w:val="285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Encryption</w:t>
            </w:r>
          </w:p>
        </w:tc>
      </w:tr>
      <w:tr>
        <w:trPr>
          <w:trHeight w:val="300" w:hRule="auto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Password management system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Locks (offices, storefront, warehouse)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Closed-circuit television (CCTV) surveillance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X</w:t>
            </w:r>
          </w:p>
        </w:tc>
        <w:tc>
          <w:tcPr>
            <w:tcW w:w="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Fire detection/prevention (fire alarm, sprinkler system, etc.)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i/>
          <w:color w:val="auto"/>
          <w:spacing w:val="0"/>
          <w:position w:val="0"/>
          <w:sz w:val="24"/>
          <w:shd w:fill="auto" w:val="clear"/>
        </w:rPr>
        <w:t xml:space="preserve">Does Botium Toys currently adhere to this compliance best practice?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4"/>
          <w:shd w:fill="auto" w:val="clear"/>
        </w:rPr>
        <w:t xml:space="preserve">Compliance checklist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u w:val="single"/>
          <w:shd w:fill="auto" w:val="clear"/>
        </w:rPr>
        <w:t xml:space="preserve">Payment Card Industry Data Security Standard (PCI DSS)</w:t>
      </w:r>
    </w:p>
    <w:tbl>
      <w:tblPr/>
      <w:tblGrid>
        <w:gridCol w:w="930"/>
        <w:gridCol w:w="915"/>
        <w:gridCol w:w="7515"/>
      </w:tblGrid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No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Best practice</w:t>
            </w:r>
          </w:p>
        </w:tc>
      </w:tr>
      <w:tr>
        <w:trPr>
          <w:trHeight w:val="675" w:hRule="auto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70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Only authorized users have access to customers’ credit card information. </w:t>
            </w:r>
          </w:p>
        </w:tc>
      </w:tr>
      <w:tr>
        <w:trPr>
          <w:trHeight w:val="540" w:hRule="auto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7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80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data encryption procedures to better secure credit card transaction touchpoints and data.</w:t>
            </w: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FFFF00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84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Adopt secure password management policies.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u w:val="single"/>
          <w:shd w:fill="auto" w:val="clear"/>
        </w:rPr>
        <w:t xml:space="preserve">General Data Protection Regulation (GDPR)</w:t>
      </w:r>
    </w:p>
    <w:tbl>
      <w:tblPr/>
      <w:tblGrid>
        <w:gridCol w:w="885"/>
        <w:gridCol w:w="960"/>
        <w:gridCol w:w="7515"/>
      </w:tblGrid>
      <w:tr>
        <w:trPr>
          <w:trHeight w:val="1" w:hRule="atLeast"/>
          <w:jc w:val="left"/>
        </w:trPr>
        <w:tc>
          <w:tcPr>
            <w:tcW w:w="8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9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No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Best practice</w:t>
            </w:r>
          </w:p>
        </w:tc>
      </w:tr>
      <w:tr>
        <w:trPr>
          <w:trHeight w:val="285" w:hRule="auto"/>
          <w:jc w:val="left"/>
        </w:trPr>
        <w:tc>
          <w:tcPr>
            <w:tcW w:w="8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E.U. customers’ data is kept private/secured.</w:t>
            </w:r>
          </w:p>
        </w:tc>
      </w:tr>
      <w:tr>
        <w:trPr>
          <w:trHeight w:val="570" w:hRule="auto"/>
          <w:jc w:val="left"/>
        </w:trPr>
        <w:tc>
          <w:tcPr>
            <w:tcW w:w="8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x</w:t>
            </w:r>
          </w:p>
        </w:tc>
        <w:tc>
          <w:tcPr>
            <w:tcW w:w="9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trHeight w:val="255" w:hRule="auto"/>
          <w:jc w:val="left"/>
        </w:trPr>
        <w:tc>
          <w:tcPr>
            <w:tcW w:w="8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x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Ensure data is properly classified and inventoried.</w:t>
            </w:r>
          </w:p>
        </w:tc>
      </w:tr>
      <w:tr>
        <w:trPr>
          <w:trHeight w:val="1" w:hRule="atLeast"/>
          <w:jc w:val="left"/>
        </w:trPr>
        <w:tc>
          <w:tcPr>
            <w:tcW w:w="8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x</w:t>
            </w:r>
          </w:p>
        </w:tc>
        <w:tc>
          <w:tcPr>
            <w:tcW w:w="96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Enforce privacy policies, procedures, and processes to properly document and maintain data.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u w:val="single"/>
          <w:shd w:fill="auto" w:val="clear"/>
        </w:rPr>
        <w:t xml:space="preserve">System and Organizations Controls (SOC type 1, SOC type 2)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930"/>
        <w:gridCol w:w="915"/>
        <w:gridCol w:w="7515"/>
      </w:tblGrid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Yes</w:t>
            </w: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No</w:t>
            </w: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Best practice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1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User access policies are established.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12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Sensitive data (PII/SPII) is confidential/private.</w:t>
            </w:r>
          </w:p>
        </w:tc>
      </w:tr>
      <w:tr>
        <w:trPr>
          <w:trHeight w:val="570" w:hRule="auto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13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Data integrity ensures the data is consistent, complete, accurate, and has been validated.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13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oogle Sans" w:hAnsi="Google Sans" w:cs="Google Sans" w:eastAsia="Google Sans"/>
                <w:color w:val="auto"/>
                <w:spacing w:val="0"/>
                <w:position w:val="0"/>
                <w:sz w:val="24"/>
                <w:shd w:fill="auto" w:val="clear"/>
              </w:rPr>
              <w:t xml:space="preserve">Data is available to individuals authorized to access it.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Recommendations :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Limit employee access using least privilege.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Encrypt all customer and credit card data.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Add separation of duties for sensitive tasks.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Install an Intrusion Detection System (IDS).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Create regular backups and a Disaster Recovery Plan.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Strengthen password requirements and consider MFA.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Use centralized password management.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Set a regular schedule for updating and maintaining legacy systems.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4"/>
          <w:shd w:fill="auto" w:val="clear"/>
        </w:rPr>
        <w:t xml:space="preserve">Keep monitoring EU compliance and data protection requirements.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Main priority: Protect customer data, limit access, and make sure the company can recover quickly if something goes wrong.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70">
    <w:abstractNumId w:val="42"/>
  </w:num>
  <w:num w:numId="75">
    <w:abstractNumId w:val="36"/>
  </w:num>
  <w:num w:numId="80">
    <w:abstractNumId w:val="30"/>
  </w:num>
  <w:num w:numId="84">
    <w:abstractNumId w:val="24"/>
  </w:num>
  <w:num w:numId="123">
    <w:abstractNumId w:val="18"/>
  </w:num>
  <w:num w:numId="127">
    <w:abstractNumId w:val="12"/>
  </w:num>
  <w:num w:numId="131">
    <w:abstractNumId w:val="6"/>
  </w:num>
  <w:num w:numId="1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