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TITANQIO</w:t>
      </w:r>
    </w:p>
    <w:p>
      <w:pPr>
        <w:jc w:val="center"/>
      </w:pPr>
      <w:r>
        <w:rPr>
          <w:b/>
          <w:color w:val="0F172A"/>
          <w:sz w:val="48"/>
        </w:rPr>
        <w:t>AI Engineer Technical Assessment</w:t>
      </w:r>
    </w:p>
    <w:p>
      <w:pPr>
        <w:jc w:val="center"/>
      </w:pPr>
      <w:r>
        <w:rPr>
          <w:color w:val="475569"/>
          <w:sz w:val="22"/>
        </w:rPr>
        <w:t>Candidate Instructions, Mandatory Dataset, Submission Requirements, and Scoring Sheet</w:t>
      </w:r>
    </w:p>
    <w:tbl>
      <w:tblPr>
        <w:tblW w:type="auto" w:w="0"/>
        <w:jc w:val="center"/>
        <w:tblLook w:firstColumn="1" w:firstRow="1" w:lastColumn="0" w:lastRow="0" w:noHBand="0" w:noVBand="1" w:val="04A0"/>
      </w:tblPr>
      <w:tblGrid>
        <w:gridCol w:w="5040"/>
        <w:gridCol w:w="5040"/>
      </w:tblGrid>
      <w:tr>
        <w:tc>
          <w:tcPr>
            <w:tcW w:type="dxa" w:w="5040"/>
            <w:tcBorders>
              <w:top w:sz="4" w:val="single" w:color="D9E2EC"/>
              <w:left w:sz="4" w:val="single" w:color="D9E2EC"/>
              <w:bottom w:sz="4" w:val="single" w:color="D9E2EC"/>
              <w:right w:sz="4" w:val="single" w:color="D9E2EC"/>
            </w:tcBorders>
            <w:vAlign w:val="top"/>
            <w:shd w:fill="E2E8F0"/>
          </w:tcPr>
          <w:p>
            <w:r/>
            <w:r>
              <w:rPr>
                <w:b/>
              </w:rPr>
              <w:t>Assessment Type</w:t>
            </w:r>
          </w:p>
        </w:tc>
        <w:tc>
          <w:tcPr>
            <w:tcW w:type="dxa" w:w="5040"/>
            <w:tcBorders>
              <w:top w:sz="4" w:val="single" w:color="D9E2EC"/>
              <w:left w:sz="4" w:val="single" w:color="D9E2EC"/>
              <w:bottom w:sz="4" w:val="single" w:color="D9E2EC"/>
              <w:right w:sz="4" w:val="single" w:color="D9E2EC"/>
            </w:tcBorders>
            <w:vAlign w:val="top"/>
          </w:tcPr>
          <w:p>
            <w:r/>
            <w:r>
              <w:rPr>
                <w:b w:val="0"/>
              </w:rPr>
              <w:t>30-minute technical assessment with recorded demo</w:t>
            </w:r>
          </w:p>
        </w:tc>
      </w:tr>
      <w:tr>
        <w:tc>
          <w:tcPr>
            <w:tcW w:type="dxa" w:w="5040"/>
            <w:tcBorders>
              <w:top w:sz="4" w:val="single" w:color="D9E2EC"/>
              <w:left w:sz="4" w:val="single" w:color="D9E2EC"/>
              <w:bottom w:sz="4" w:val="single" w:color="D9E2EC"/>
              <w:right w:sz="4" w:val="single" w:color="D9E2EC"/>
            </w:tcBorders>
            <w:vAlign w:val="top"/>
            <w:shd w:fill="E2E8F0"/>
          </w:tcPr>
          <w:p>
            <w:r/>
            <w:r>
              <w:rPr>
                <w:b/>
              </w:rPr>
              <w:t>Focus Areas</w:t>
            </w:r>
          </w:p>
        </w:tc>
        <w:tc>
          <w:tcPr>
            <w:tcW w:type="dxa" w:w="5040"/>
            <w:tcBorders>
              <w:top w:sz="4" w:val="single" w:color="D9E2EC"/>
              <w:left w:sz="4" w:val="single" w:color="D9E2EC"/>
              <w:bottom w:sz="4" w:val="single" w:color="D9E2EC"/>
              <w:right w:sz="4" w:val="single" w:color="D9E2EC"/>
            </w:tcBorders>
            <w:vAlign w:val="top"/>
          </w:tcPr>
          <w:p>
            <w:r/>
            <w:r>
              <w:rPr>
                <w:b w:val="0"/>
              </w:rPr>
              <w:t>RAG, embeddings, vector retrieval, grounded responses, engineering explanation</w:t>
            </w:r>
          </w:p>
        </w:tc>
      </w:tr>
      <w:tr>
        <w:tc>
          <w:tcPr>
            <w:tcW w:type="dxa" w:w="5040"/>
            <w:tcBorders>
              <w:top w:sz="4" w:val="single" w:color="D9E2EC"/>
              <w:left w:sz="4" w:val="single" w:color="D9E2EC"/>
              <w:bottom w:sz="4" w:val="single" w:color="D9E2EC"/>
              <w:right w:sz="4" w:val="single" w:color="D9E2EC"/>
            </w:tcBorders>
            <w:vAlign w:val="top"/>
            <w:shd w:fill="E2E8F0"/>
          </w:tcPr>
          <w:p>
            <w:r/>
            <w:r>
              <w:rPr>
                <w:b/>
              </w:rPr>
              <w:t>Submission Method</w:t>
            </w:r>
          </w:p>
        </w:tc>
        <w:tc>
          <w:tcPr>
            <w:tcW w:type="dxa" w:w="5040"/>
            <w:tcBorders>
              <w:top w:sz="4" w:val="single" w:color="D9E2EC"/>
              <w:left w:sz="4" w:val="single" w:color="D9E2EC"/>
              <w:bottom w:sz="4" w:val="single" w:color="D9E2EC"/>
              <w:right w:sz="4" w:val="single" w:color="D9E2EC"/>
            </w:tcBorders>
            <w:vAlign w:val="top"/>
          </w:tcPr>
          <w:p>
            <w:r/>
            <w:r>
              <w:rPr>
                <w:b w:val="0"/>
              </w:rPr>
              <w:t>WeTransfer: code, video, and short design document</w:t>
            </w:r>
          </w:p>
        </w:tc>
      </w:tr>
      <w:tr>
        <w:tc>
          <w:tcPr>
            <w:tcW w:type="dxa" w:w="5040"/>
            <w:tcBorders>
              <w:top w:sz="4" w:val="single" w:color="D9E2EC"/>
              <w:left w:sz="4" w:val="single" w:color="D9E2EC"/>
              <w:bottom w:sz="4" w:val="single" w:color="D9E2EC"/>
              <w:right w:sz="4" w:val="single" w:color="D9E2EC"/>
            </w:tcBorders>
            <w:vAlign w:val="top"/>
            <w:shd w:fill="E2E8F0"/>
          </w:tcPr>
          <w:p>
            <w:r/>
            <w:r>
              <w:rPr>
                <w:b/>
              </w:rPr>
              <w:t>Assessment Owner</w:t>
            </w:r>
          </w:p>
        </w:tc>
        <w:tc>
          <w:tcPr>
            <w:tcW w:type="dxa" w:w="5040"/>
            <w:tcBorders>
              <w:top w:sz="4" w:val="single" w:color="D9E2EC"/>
              <w:left w:sz="4" w:val="single" w:color="D9E2EC"/>
              <w:bottom w:sz="4" w:val="single" w:color="D9E2EC"/>
              <w:right w:sz="4" w:val="single" w:color="D9E2EC"/>
            </w:tcBorders>
            <w:vAlign w:val="top"/>
          </w:tcPr>
          <w:p>
            <w:r/>
            <w:r>
              <w:rPr>
                <w:b w:val="0"/>
              </w:rPr>
              <w:t>TitanQIO</w:t>
            </w:r>
          </w:p>
        </w:tc>
      </w:tr>
    </w:tbl>
    <w:p>
      <w:r>
        <w:br w:type="page"/>
      </w:r>
    </w:p>
    <w:p>
      <w:pPr>
        <w:pStyle w:val="Heading1"/>
      </w:pPr>
      <w:r>
        <w:t>1. Overview</w:t>
      </w:r>
    </w:p>
    <w:p>
      <w:r>
        <w:t>This assessment evaluates a candidate’s ability to design and implement a Retrieval-Augmented Generation (RAG) system using their own local or cloud environment. All candidates must complete the same assessment using the mandatory dataset provided in this document.</w:t>
      </w:r>
    </w:p>
    <w:p>
      <w:pPr>
        <w:pStyle w:val="Heading1"/>
      </w:pPr>
      <w:r>
        <w:t>2. Candidate Instructions</w:t>
      </w:r>
    </w:p>
    <w:p>
      <w:pPr>
        <w:pStyle w:val="ListNumber"/>
      </w:pPr>
      <w:r>
        <w:t>Complete the task in your own development environment, either local or cloud-based.</w:t>
      </w:r>
    </w:p>
    <w:p>
      <w:pPr>
        <w:pStyle w:val="ListNumber"/>
      </w:pPr>
      <w:r>
        <w:t>Record your screen and voice while explaining your solution and design decisions.</w:t>
      </w:r>
    </w:p>
    <w:p>
      <w:pPr>
        <w:pStyle w:val="ListNumber"/>
      </w:pPr>
      <w:r>
        <w:t>Demonstrate the assistant answering the required example queries.</w:t>
      </w:r>
    </w:p>
    <w:p>
      <w:pPr>
        <w:pStyle w:val="ListNumber"/>
      </w:pPr>
      <w:r>
        <w:t>Submit your code, recorded demo video, and short documentation via WeTransfer.</w:t>
      </w:r>
    </w:p>
    <w:p>
      <w:pPr>
        <w:pStyle w:val="ListNumber"/>
      </w:pPr>
      <w:r>
        <w:t>Your system must demonstrate that responses are derived from the dataset in this document and not from general LLM knowledge.</w:t>
      </w:r>
    </w:p>
    <w:p>
      <w:pPr>
        <w:pStyle w:val="Heading1"/>
      </w:pPr>
      <w:r>
        <w:t>3. Problem Statement</w:t>
      </w:r>
    </w:p>
    <w:p>
      <w:r>
        <w:t>Build an AI-powered assistant that allows users to query a dataset of documents using natural language and returns accurate, context-aware responses grounded in the supplied data.</w:t>
      </w:r>
    </w:p>
    <w:p>
      <w:pPr>
        <w:pStyle w:val="Heading1"/>
      </w:pPr>
      <w:r>
        <w:t>4. Functional Requirements</w:t>
      </w:r>
    </w:p>
    <w:p>
      <w:pPr>
        <w:pStyle w:val="ListBullet"/>
      </w:pPr>
      <w:r>
        <w:t>Implement a RAG pipeline that includes retrieval and LLM-based response generation.</w:t>
      </w:r>
    </w:p>
    <w:p>
      <w:pPr>
        <w:pStyle w:val="ListBullet"/>
      </w:pPr>
      <w:r>
        <w:t>Use embeddings and a vector search mechanism.</w:t>
      </w:r>
    </w:p>
    <w:p>
      <w:pPr>
        <w:pStyle w:val="ListBullet"/>
      </w:pPr>
      <w:r>
        <w:t>Ingest the mandatory JSON dataset exactly as supplied or faithfully replicate it in your environment.</w:t>
      </w:r>
    </w:p>
    <w:p>
      <w:pPr>
        <w:pStyle w:val="ListBullet"/>
      </w:pPr>
      <w:r>
        <w:t>Return natural language answers grounded in the retrieved context.</w:t>
      </w:r>
    </w:p>
    <w:p>
      <w:pPr>
        <w:pStyle w:val="ListBullet"/>
      </w:pPr>
      <w:r>
        <w:t>Show how your system handles queries where the answer exists in the dataset.</w:t>
      </w:r>
    </w:p>
    <w:p>
      <w:pPr>
        <w:pStyle w:val="ListBullet"/>
      </w:pPr>
      <w:r>
        <w:t>Explain how hallucinations are reduced or prevented.</w:t>
      </w:r>
    </w:p>
    <w:p>
      <w:pPr>
        <w:pStyle w:val="ListBullet"/>
      </w:pPr>
      <w:r>
        <w:t>Explain the chosen architecture, tools, limitations, and trade-offs.</w:t>
      </w:r>
    </w:p>
    <w:p>
      <w:pPr>
        <w:pStyle w:val="Heading1"/>
      </w:pPr>
      <w:r>
        <w:t>5. Mandatory Dummy Backend Data</w:t>
      </w:r>
    </w:p>
    <w:p>
      <w:r>
        <w:t>The following dataset MUST be used in the solution. Candidates must ingest, process, chunk where appropriate, embed, retrieve from, and answer questions using this data.</w:t>
      </w:r>
    </w:p>
    <w:tbl>
      <w:tblPr>
        <w:tblW w:type="auto" w:w="0"/>
        <w:jc w:val="center"/>
        <w:tblLook w:firstColumn="1" w:firstRow="1" w:lastColumn="0" w:lastRow="0" w:noHBand="0" w:noVBand="1" w:val="04A0"/>
      </w:tblPr>
      <w:tblGrid>
        <w:gridCol w:w="10080"/>
      </w:tblGrid>
      <w:tr>
        <w:tc>
          <w:tcPr>
            <w:tcW w:type="dxa" w:w="10080"/>
            <w:shd w:fill="F3F6F9"/>
            <w:tcBorders>
              <w:top w:sz="8" w:val="single" w:color="CBD5E1"/>
              <w:left w:sz="8" w:val="single" w:color="CBD5E1"/>
              <w:bottom w:sz="8" w:val="single" w:color="CBD5E1"/>
              <w:right w:sz="8" w:val="single" w:color="CBD5E1"/>
            </w:tcBorders>
          </w:tcPr>
          <w:p>
            <w:pPr>
              <w:spacing w:before="120" w:after="120"/>
              <w:ind w:left="80"/>
            </w:pPr>
            <w:r/>
            <w:r>
              <w:rPr>
                <w:rFonts w:ascii="Consolas" w:hAnsi="Consolas" w:eastAsia="Consolas"/>
                <w:sz w:val="17"/>
              </w:rPr>
              <w:t>[</w:t>
            </w:r>
            <w:r>
              <w:br/>
            </w:r>
            <w:r>
              <w:rPr>
                <w:rFonts w:ascii="Consolas" w:hAnsi="Consolas" w:eastAsia="Consolas"/>
                <w:sz w:val="17"/>
              </w:rPr>
              <w:t xml:space="preserve">  {</w:t>
            </w:r>
            <w:r>
              <w:br/>
            </w:r>
            <w:r>
              <w:rPr>
                <w:rFonts w:ascii="Consolas" w:hAnsi="Consolas" w:eastAsia="Consolas"/>
                <w:sz w:val="17"/>
              </w:rPr>
              <w:t xml:space="preserve">    "id": 1,</w:t>
            </w:r>
            <w:r>
              <w:br/>
            </w:r>
            <w:r>
              <w:rPr>
                <w:rFonts w:ascii="Consolas" w:hAnsi="Consolas" w:eastAsia="Consolas"/>
                <w:sz w:val="17"/>
              </w:rPr>
              <w:t xml:space="preserve">    "title": "Company Overview",</w:t>
            </w:r>
            <w:r>
              <w:br/>
            </w:r>
            <w:r>
              <w:rPr>
                <w:rFonts w:ascii="Consolas" w:hAnsi="Consolas" w:eastAsia="Consolas"/>
                <w:sz w:val="17"/>
              </w:rPr>
              <w:t xml:space="preserve">    "content": "TitanQIO is a technology company specialising in AI-driven solutions for enterprise clients. It focuses on building scalable AI systems using cloud-native architectures. The company works with large enterprise datasets and prioritises reliability and performance in production environments."</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"id": 2,</w:t>
            </w:r>
            <w:r>
              <w:br/>
            </w:r>
            <w:r>
              <w:rPr>
                <w:rFonts w:ascii="Consolas" w:hAnsi="Consolas" w:eastAsia="Consolas"/>
                <w:sz w:val="17"/>
              </w:rPr>
              <w:t xml:space="preserve">    "title": "AI Architecture",</w:t>
            </w:r>
            <w:r>
              <w:br/>
            </w:r>
            <w:r>
              <w:rPr>
                <w:rFonts w:ascii="Consolas" w:hAnsi="Consolas" w:eastAsia="Consolas"/>
                <w:sz w:val="17"/>
              </w:rPr>
              <w:t xml:space="preserve">    "content": "TitanQIO uses Retrieval-Augmented Generation (RAG) to enhance large language model outputs. This approach combines vector search with LLMs to ground responses in internal company knowledge, improving accuracy and reducing hallucinations."</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"id": 3,</w:t>
            </w:r>
            <w:r>
              <w:br/>
            </w:r>
            <w:r>
              <w:rPr>
                <w:rFonts w:ascii="Consolas" w:hAnsi="Consolas" w:eastAsia="Consolas"/>
                <w:sz w:val="17"/>
              </w:rPr>
              <w:t xml:space="preserve">    "title": "Technology Stack",</w:t>
            </w:r>
            <w:r>
              <w:br/>
            </w:r>
            <w:r>
              <w:rPr>
                <w:rFonts w:ascii="Consolas" w:hAnsi="Consolas" w:eastAsia="Consolas"/>
                <w:sz w:val="17"/>
              </w:rPr>
              <w:t xml:space="preserve">    "content": "TitanQIO solutions commonly integrate with Azure AI services, OpenAI APIs, and AWS cloud infrastructure. Key technical areas include embeddings, vector databases, API orchestration, and containerised deployments. Security and data governance are critical design considerations."</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"id": 4,</w:t>
            </w:r>
            <w:r>
              <w:br/>
            </w:r>
            <w:r>
              <w:rPr>
                <w:rFonts w:ascii="Consolas" w:hAnsi="Consolas" w:eastAsia="Consolas"/>
                <w:sz w:val="17"/>
              </w:rPr>
              <w:t xml:space="preserve">    "title": "Use Cases",</w:t>
            </w:r>
            <w:r>
              <w:br/>
            </w:r>
            <w:r>
              <w:rPr>
                <w:rFonts w:ascii="Consolas" w:hAnsi="Consolas" w:eastAsia="Consolas"/>
                <w:sz w:val="17"/>
              </w:rPr>
              <w:t xml:space="preserve">    "content": "Typical use cases include intelligent chat assistants, enterprise document search systems, analytics platforms, and workflow automation tools. These systems allow users to interact with structured and unstructured data using natural language queries."</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"id": 5,</w:t>
            </w:r>
            <w:r>
              <w:br/>
            </w:r>
            <w:r>
              <w:rPr>
                <w:rFonts w:ascii="Consolas" w:hAnsi="Consolas" w:eastAsia="Consolas"/>
                <w:sz w:val="17"/>
              </w:rPr>
              <w:t xml:space="preserve">    "title": "Business Scenario",</w:t>
            </w:r>
            <w:r>
              <w:br/>
            </w:r>
            <w:r>
              <w:rPr>
                <w:rFonts w:ascii="Consolas" w:hAnsi="Consolas" w:eastAsia="Consolas"/>
                <w:sz w:val="17"/>
              </w:rPr>
              <w:t xml:space="preserve">    "content": "A client wants to deploy an internal AI assistant that can answer employee questions about company processes, policies, and technical documentation. The assistant must be accurate, fast, and capable of handling multiple queries simultaneously."</w:t>
            </w:r>
            <w:r>
              <w:br/>
            </w:r>
            <w:r>
              <w:rPr>
                <w:rFonts w:ascii="Consolas" w:hAnsi="Consolas" w:eastAsia="Consolas"/>
                <w:sz w:val="17"/>
              </w:rPr>
              <w:t xml:space="preserve">  }</w:t>
            </w:r>
            <w:r>
              <w:br/>
            </w:r>
            <w:r>
              <w:rPr>
                <w:rFonts w:ascii="Consolas" w:hAnsi="Consolas" w:eastAsia="Consolas"/>
                <w:sz w:val="17"/>
              </w:rPr>
              <w:t>]</w:t>
            </w:r>
          </w:p>
        </w:tc>
      </w:tr>
    </w:tbl>
    <w:p/>
    <w:p>
      <w:pPr>
        <w:pStyle w:val="Heading1"/>
      </w:pPr>
      <w:r>
        <w:t>6. Required Example Queries</w:t>
      </w:r>
    </w:p>
    <w:p>
      <w:r>
        <w:t>The candidate must demonstrate that the system can answer the following queries using the dataset above:</w:t>
      </w:r>
    </w:p>
    <w:p>
      <w:pPr>
        <w:pStyle w:val="ListBullet"/>
      </w:pPr>
      <w:r>
        <w:t>What does TitanQIO specialise in?</w:t>
      </w:r>
    </w:p>
    <w:p>
      <w:pPr>
        <w:pStyle w:val="ListBullet"/>
      </w:pPr>
      <w:r>
        <w:t>How does TitanQIO use RAG?</w:t>
      </w:r>
    </w:p>
    <w:p>
      <w:pPr>
        <w:pStyle w:val="ListBullet"/>
      </w:pPr>
      <w:r>
        <w:t>What technologies are commonly used?</w:t>
      </w:r>
    </w:p>
    <w:p>
      <w:pPr>
        <w:pStyle w:val="ListBullet"/>
      </w:pPr>
      <w:r>
        <w:t>What are the main use cases of TitanQIO systems?</w:t>
      </w:r>
    </w:p>
    <w:p>
      <w:pPr>
        <w:pStyle w:val="ListBullet"/>
      </w:pPr>
      <w:r>
        <w:t>Describe a possible business scenario where this system is used.</w:t>
      </w:r>
    </w:p>
    <w:p>
      <w:pPr>
        <w:pStyle w:val="Heading1"/>
      </w:pPr>
      <w:r>
        <w:t>7. Expected Candidate Demonstration</w:t>
      </w:r>
    </w:p>
    <w:p>
      <w:pPr>
        <w:pStyle w:val="ListBullet"/>
      </w:pPr>
      <w:r>
        <w:t>Show the dataset being loaded or ingested.</w:t>
      </w:r>
    </w:p>
    <w:p>
      <w:pPr>
        <w:pStyle w:val="ListBullet"/>
      </w:pPr>
      <w:r>
        <w:t>Show embeddings or vector indexing being created.</w:t>
      </w:r>
    </w:p>
    <w:p>
      <w:pPr>
        <w:pStyle w:val="ListBullet"/>
      </w:pPr>
      <w:r>
        <w:t>Run at least three of the required example queries live.</w:t>
      </w:r>
    </w:p>
    <w:p>
      <w:pPr>
        <w:pStyle w:val="ListBullet"/>
      </w:pPr>
      <w:r>
        <w:t>Explain the retrieval step before the LLM response is generated.</w:t>
      </w:r>
    </w:p>
    <w:p>
      <w:pPr>
        <w:pStyle w:val="ListBullet"/>
      </w:pPr>
      <w:r>
        <w:t>Explain how the final answer is grounded in retrieved context.</w:t>
      </w:r>
    </w:p>
    <w:p>
      <w:pPr>
        <w:pStyle w:val="ListBullet"/>
      </w:pPr>
      <w:r>
        <w:t>Show code structure and the main components of the implementation.</w:t>
      </w:r>
    </w:p>
    <w:p>
      <w:pPr>
        <w:pStyle w:val="ListBullet"/>
      </w:pPr>
      <w:r>
        <w:t>Explain what would be improved for production use.</w:t>
      </w:r>
    </w:p>
    <w:p>
      <w:pPr>
        <w:pStyle w:val="Heading1"/>
      </w:pPr>
      <w:r>
        <w:t>8. Submission Requirements</w:t>
      </w:r>
    </w:p>
    <w:p>
      <w:pPr>
        <w:pStyle w:val="ListBullet"/>
      </w:pPr>
      <w:r>
        <w:t>Code as a ZIP file or repository link.</w:t>
      </w:r>
    </w:p>
    <w:p>
      <w:pPr>
        <w:pStyle w:val="ListBullet"/>
      </w:pPr>
      <w:r>
        <w:t>Recorded demo video showing screen and voice explanation.</w:t>
      </w:r>
    </w:p>
    <w:p>
      <w:pPr>
        <w:pStyle w:val="ListBullet"/>
      </w:pPr>
      <w:r>
        <w:t>Short document explaining design decisions, chosen tools, architecture, and limitations.</w:t>
      </w:r>
    </w:p>
    <w:p>
      <w:pPr>
        <w:pStyle w:val="ListBullet"/>
      </w:pPr>
      <w:r>
        <w:t>Submit all files via WeTransfer.</w:t>
      </w:r>
    </w:p>
    <w:p>
      <w:r>
        <w:br w:type="page"/>
      </w:r>
    </w:p>
    <w:p>
      <w:pPr>
        <w:pStyle w:val="Heading1"/>
      </w:pPr>
      <w:r>
        <w:t>9. Quick Scoring Sheet</w:t>
      </w:r>
    </w:p>
    <w:p>
      <w:r>
        <w:t>Use this sheet to evaluate each candidate quickly and consistently. Suggested total: 100 points.</w:t>
      </w:r>
    </w:p>
    <w:tbl>
      <w:tblPr>
        <w:tblW w:type="auto" w:w="0"/>
        <w:jc w:val="center"/>
        <w:tblLook w:firstColumn="1" w:firstRow="1" w:lastColumn="0" w:lastRow="0" w:noHBand="0" w:noVBand="1" w:val="04A0"/>
      </w:tblPr>
      <w:tblGrid>
        <w:gridCol w:w="2520"/>
        <w:gridCol w:w="2520"/>
        <w:gridCol w:w="2520"/>
        <w:gridCol w:w="2520"/>
      </w:tblGrid>
      <w:tr>
        <w:tc>
          <w:tcPr>
            <w:tcW w:type="dxa" w:w="2520"/>
            <w:tcBorders>
              <w:top w:sz="4" w:val="single" w:color="D9E2EC"/>
              <w:left w:sz="4" w:val="single" w:color="D9E2EC"/>
              <w:bottom w:sz="4" w:val="single" w:color="D9E2EC"/>
              <w:right w:sz="4" w:val="single" w:color="D9E2EC"/>
            </w:tcBorders>
            <w:vAlign w:val="top"/>
            <w:shd w:fill="1E293B"/>
          </w:tcPr>
          <w:p>
            <w:r/>
            <w:r>
              <w:rPr>
                <w:b/>
                <w:color w:val="FFFFFF"/>
              </w:rPr>
              <w:t>Criteria</w:t>
            </w:r>
          </w:p>
        </w:tc>
        <w:tc>
          <w:tcPr>
            <w:tcW w:type="dxa" w:w="2520"/>
            <w:tcBorders>
              <w:top w:sz="4" w:val="single" w:color="D9E2EC"/>
              <w:left w:sz="4" w:val="single" w:color="D9E2EC"/>
              <w:bottom w:sz="4" w:val="single" w:color="D9E2EC"/>
              <w:right w:sz="4" w:val="single" w:color="D9E2EC"/>
            </w:tcBorders>
            <w:vAlign w:val="top"/>
            <w:shd w:fill="1E293B"/>
          </w:tcPr>
          <w:p>
            <w:r/>
            <w:r>
              <w:rPr>
                <w:b/>
                <w:color w:val="FFFFFF"/>
              </w:rPr>
              <w:t>What to Look For</w:t>
            </w:r>
          </w:p>
        </w:tc>
        <w:tc>
          <w:tcPr>
            <w:tcW w:type="dxa" w:w="2520"/>
            <w:tcBorders>
              <w:top w:sz="4" w:val="single" w:color="D9E2EC"/>
              <w:left w:sz="4" w:val="single" w:color="D9E2EC"/>
              <w:bottom w:sz="4" w:val="single" w:color="D9E2EC"/>
              <w:right w:sz="4" w:val="single" w:color="D9E2EC"/>
            </w:tcBorders>
            <w:vAlign w:val="top"/>
            <w:shd w:fill="1E293B"/>
          </w:tcPr>
          <w:p>
            <w:r/>
            <w:r>
              <w:rPr>
                <w:b/>
                <w:color w:val="FFFFFF"/>
              </w:rPr>
              <w:t>Max Points</w:t>
            </w:r>
          </w:p>
        </w:tc>
        <w:tc>
          <w:tcPr>
            <w:tcW w:type="dxa" w:w="2520"/>
            <w:tcBorders>
              <w:top w:sz="4" w:val="single" w:color="D9E2EC"/>
              <w:left w:sz="4" w:val="single" w:color="D9E2EC"/>
              <w:bottom w:sz="4" w:val="single" w:color="D9E2EC"/>
              <w:right w:sz="4" w:val="single" w:color="D9E2EC"/>
            </w:tcBorders>
            <w:vAlign w:val="top"/>
            <w:shd w:fill="1E293B"/>
          </w:tcPr>
          <w:p>
            <w:r/>
            <w:r>
              <w:rPr>
                <w:b/>
                <w:color w:val="FFFFFF"/>
              </w:rPr>
              <w:t>Score</w:t>
            </w:r>
          </w:p>
        </w:tc>
      </w:tr>
      <w:tr>
        <w:tc>
          <w:tcPr>
            <w:tcW w:type="dxa" w:w="2520"/>
            <w:vAlign w:val="top"/>
            <w:tcBorders>
              <w:top w:sz="4" w:val="single" w:color="D9E2EC"/>
              <w:left w:sz="4" w:val="single" w:color="D9E2EC"/>
              <w:bottom w:sz="4" w:val="single" w:color="D9E2EC"/>
              <w:right w:sz="4" w:val="single" w:color="D9E2EC"/>
            </w:tcBorders>
          </w:tcPr>
          <w:p>
            <w:r>
              <w:t>Dataset ingestion and preparation</w:t>
            </w:r>
          </w:p>
        </w:tc>
        <w:tc>
          <w:tcPr>
            <w:tcW w:type="dxa" w:w="2520"/>
            <w:vAlign w:val="top"/>
            <w:tcBorders>
              <w:top w:sz="4" w:val="single" w:color="D9E2EC"/>
              <w:left w:sz="4" w:val="single" w:color="D9E2EC"/>
              <w:bottom w:sz="4" w:val="single" w:color="D9E2EC"/>
              <w:right w:sz="4" w:val="single" w:color="D9E2EC"/>
            </w:tcBorders>
          </w:tcPr>
          <w:p>
            <w:r>
              <w:t>Correctly loads and uses the supplied JSON dataset; no hidden or unrelated data used.</w:t>
            </w:r>
          </w:p>
        </w:tc>
        <w:tc>
          <w:tcPr>
            <w:tcW w:type="dxa" w:w="2520"/>
            <w:vAlign w:val="top"/>
            <w:tcBorders>
              <w:top w:sz="4" w:val="single" w:color="D9E2EC"/>
              <w:left w:sz="4" w:val="single" w:color="D9E2EC"/>
              <w:bottom w:sz="4" w:val="single" w:color="D9E2EC"/>
              <w:right w:sz="4" w:val="single" w:color="D9E2EC"/>
            </w:tcBorders>
          </w:tcPr>
          <w:p>
            <w:r>
              <w:t>10</w:t>
            </w:r>
          </w:p>
        </w:tc>
        <w:tc>
          <w:tcPr>
            <w:tcW w:type="dxa" w:w="2520"/>
            <w:vAlign w:val="top"/>
            <w:tcBorders>
              <w:top w:sz="4" w:val="single" w:color="D9E2EC"/>
              <w:left w:sz="4" w:val="single" w:color="D9E2EC"/>
              <w:bottom w:sz="4" w:val="single" w:color="D9E2EC"/>
              <w:right w:sz="4" w:val="single" w:color="D9E2EC"/>
            </w:tcBorders>
          </w:tcPr>
          <w:p>
            <w:r/>
          </w:p>
        </w:tc>
      </w:tr>
      <w:tr>
        <w:tc>
          <w:tcPr>
            <w:tcW w:type="dxa" w:w="2520"/>
            <w:vAlign w:val="top"/>
            <w:tcBorders>
              <w:top w:sz="4" w:val="single" w:color="D9E2EC"/>
              <w:left w:sz="4" w:val="single" w:color="D9E2EC"/>
              <w:bottom w:sz="4" w:val="single" w:color="D9E2EC"/>
              <w:right w:sz="4" w:val="single" w:color="D9E2EC"/>
            </w:tcBorders>
          </w:tcPr>
          <w:p>
            <w:r>
              <w:t>RAG pipeline implementation</w:t>
            </w:r>
          </w:p>
        </w:tc>
        <w:tc>
          <w:tcPr>
            <w:tcW w:type="dxa" w:w="2520"/>
            <w:vAlign w:val="top"/>
            <w:tcBorders>
              <w:top w:sz="4" w:val="single" w:color="D9E2EC"/>
              <w:left w:sz="4" w:val="single" w:color="D9E2EC"/>
              <w:bottom w:sz="4" w:val="single" w:color="D9E2EC"/>
              <w:right w:sz="4" w:val="single" w:color="D9E2EC"/>
            </w:tcBorders>
          </w:tcPr>
          <w:p>
            <w:r>
              <w:t>Clear retrieval + generation pipeline with sensible flow and separation of concerns.</w:t>
            </w:r>
          </w:p>
        </w:tc>
        <w:tc>
          <w:tcPr>
            <w:tcW w:type="dxa" w:w="2520"/>
            <w:vAlign w:val="top"/>
            <w:tcBorders>
              <w:top w:sz="4" w:val="single" w:color="D9E2EC"/>
              <w:left w:sz="4" w:val="single" w:color="D9E2EC"/>
              <w:bottom w:sz="4" w:val="single" w:color="D9E2EC"/>
              <w:right w:sz="4" w:val="single" w:color="D9E2EC"/>
            </w:tcBorders>
          </w:tcPr>
          <w:p>
            <w:r>
              <w:t>20</w:t>
            </w:r>
          </w:p>
        </w:tc>
        <w:tc>
          <w:tcPr>
            <w:tcW w:type="dxa" w:w="2520"/>
            <w:vAlign w:val="top"/>
            <w:tcBorders>
              <w:top w:sz="4" w:val="single" w:color="D9E2EC"/>
              <w:left w:sz="4" w:val="single" w:color="D9E2EC"/>
              <w:bottom w:sz="4" w:val="single" w:color="D9E2EC"/>
              <w:right w:sz="4" w:val="single" w:color="D9E2EC"/>
            </w:tcBorders>
          </w:tcPr>
          <w:p>
            <w:r/>
          </w:p>
        </w:tc>
      </w:tr>
      <w:tr>
        <w:tc>
          <w:tcPr>
            <w:tcW w:type="dxa" w:w="2520"/>
            <w:vAlign w:val="top"/>
            <w:tcBorders>
              <w:top w:sz="4" w:val="single" w:color="D9E2EC"/>
              <w:left w:sz="4" w:val="single" w:color="D9E2EC"/>
              <w:bottom w:sz="4" w:val="single" w:color="D9E2EC"/>
              <w:right w:sz="4" w:val="single" w:color="D9E2EC"/>
            </w:tcBorders>
          </w:tcPr>
          <w:p>
            <w:r>
              <w:t>Embeddings and vector search</w:t>
            </w:r>
          </w:p>
        </w:tc>
        <w:tc>
          <w:tcPr>
            <w:tcW w:type="dxa" w:w="2520"/>
            <w:vAlign w:val="top"/>
            <w:tcBorders>
              <w:top w:sz="4" w:val="single" w:color="D9E2EC"/>
              <w:left w:sz="4" w:val="single" w:color="D9E2EC"/>
              <w:bottom w:sz="4" w:val="single" w:color="D9E2EC"/>
              <w:right w:sz="4" w:val="single" w:color="D9E2EC"/>
            </w:tcBorders>
          </w:tcPr>
          <w:p>
            <w:r>
              <w:t>Uses embeddings and vector search appropriately; can explain why and how it works.</w:t>
            </w:r>
          </w:p>
        </w:tc>
        <w:tc>
          <w:tcPr>
            <w:tcW w:type="dxa" w:w="2520"/>
            <w:vAlign w:val="top"/>
            <w:tcBorders>
              <w:top w:sz="4" w:val="single" w:color="D9E2EC"/>
              <w:left w:sz="4" w:val="single" w:color="D9E2EC"/>
              <w:bottom w:sz="4" w:val="single" w:color="D9E2EC"/>
              <w:right w:sz="4" w:val="single" w:color="D9E2EC"/>
            </w:tcBorders>
          </w:tcPr>
          <w:p>
            <w:r>
              <w:t>15</w:t>
            </w:r>
          </w:p>
        </w:tc>
        <w:tc>
          <w:tcPr>
            <w:tcW w:type="dxa" w:w="2520"/>
            <w:vAlign w:val="top"/>
            <w:tcBorders>
              <w:top w:sz="4" w:val="single" w:color="D9E2EC"/>
              <w:left w:sz="4" w:val="single" w:color="D9E2EC"/>
              <w:bottom w:sz="4" w:val="single" w:color="D9E2EC"/>
              <w:right w:sz="4" w:val="single" w:color="D9E2EC"/>
            </w:tcBorders>
          </w:tcPr>
          <w:p>
            <w:r/>
          </w:p>
        </w:tc>
      </w:tr>
      <w:tr>
        <w:tc>
          <w:tcPr>
            <w:tcW w:type="dxa" w:w="2520"/>
            <w:vAlign w:val="top"/>
            <w:tcBorders>
              <w:top w:sz="4" w:val="single" w:color="D9E2EC"/>
              <w:left w:sz="4" w:val="single" w:color="D9E2EC"/>
              <w:bottom w:sz="4" w:val="single" w:color="D9E2EC"/>
              <w:right w:sz="4" w:val="single" w:color="D9E2EC"/>
            </w:tcBorders>
          </w:tcPr>
          <w:p>
            <w:r>
              <w:t>Grounded answer quality</w:t>
            </w:r>
          </w:p>
        </w:tc>
        <w:tc>
          <w:tcPr>
            <w:tcW w:type="dxa" w:w="2520"/>
            <w:vAlign w:val="top"/>
            <w:tcBorders>
              <w:top w:sz="4" w:val="single" w:color="D9E2EC"/>
              <w:left w:sz="4" w:val="single" w:color="D9E2EC"/>
              <w:bottom w:sz="4" w:val="single" w:color="D9E2EC"/>
              <w:right w:sz="4" w:val="single" w:color="D9E2EC"/>
            </w:tcBorders>
          </w:tcPr>
          <w:p>
            <w:r>
              <w:t>Answers are accurate, context-aware, and clearly based on retrieved dataset content.</w:t>
            </w:r>
          </w:p>
        </w:tc>
        <w:tc>
          <w:tcPr>
            <w:tcW w:type="dxa" w:w="2520"/>
            <w:vAlign w:val="top"/>
            <w:tcBorders>
              <w:top w:sz="4" w:val="single" w:color="D9E2EC"/>
              <w:left w:sz="4" w:val="single" w:color="D9E2EC"/>
              <w:bottom w:sz="4" w:val="single" w:color="D9E2EC"/>
              <w:right w:sz="4" w:val="single" w:color="D9E2EC"/>
            </w:tcBorders>
          </w:tcPr>
          <w:p>
            <w:r>
              <w:t>20</w:t>
            </w:r>
          </w:p>
        </w:tc>
        <w:tc>
          <w:tcPr>
            <w:tcW w:type="dxa" w:w="2520"/>
            <w:vAlign w:val="top"/>
            <w:tcBorders>
              <w:top w:sz="4" w:val="single" w:color="D9E2EC"/>
              <w:left w:sz="4" w:val="single" w:color="D9E2EC"/>
              <w:bottom w:sz="4" w:val="single" w:color="D9E2EC"/>
              <w:right w:sz="4" w:val="single" w:color="D9E2EC"/>
            </w:tcBorders>
          </w:tcPr>
          <w:p>
            <w:r/>
          </w:p>
        </w:tc>
      </w:tr>
      <w:tr>
        <w:tc>
          <w:tcPr>
            <w:tcW w:type="dxa" w:w="2520"/>
            <w:vAlign w:val="top"/>
            <w:tcBorders>
              <w:top w:sz="4" w:val="single" w:color="D9E2EC"/>
              <w:left w:sz="4" w:val="single" w:color="D9E2EC"/>
              <w:bottom w:sz="4" w:val="single" w:color="D9E2EC"/>
              <w:right w:sz="4" w:val="single" w:color="D9E2EC"/>
            </w:tcBorders>
          </w:tcPr>
          <w:p>
            <w:r>
              <w:t>Technical explanation</w:t>
            </w:r>
          </w:p>
        </w:tc>
        <w:tc>
          <w:tcPr>
            <w:tcW w:type="dxa" w:w="2520"/>
            <w:vAlign w:val="top"/>
            <w:tcBorders>
              <w:top w:sz="4" w:val="single" w:color="D9E2EC"/>
              <w:left w:sz="4" w:val="single" w:color="D9E2EC"/>
              <w:bottom w:sz="4" w:val="single" w:color="D9E2EC"/>
              <w:right w:sz="4" w:val="single" w:color="D9E2EC"/>
            </w:tcBorders>
          </w:tcPr>
          <w:p>
            <w:r>
              <w:t>Candidate explains architecture, trade-offs, limitations, and design choices clearly.</w:t>
            </w:r>
          </w:p>
        </w:tc>
        <w:tc>
          <w:tcPr>
            <w:tcW w:type="dxa" w:w="2520"/>
            <w:vAlign w:val="top"/>
            <w:tcBorders>
              <w:top w:sz="4" w:val="single" w:color="D9E2EC"/>
              <w:left w:sz="4" w:val="single" w:color="D9E2EC"/>
              <w:bottom w:sz="4" w:val="single" w:color="D9E2EC"/>
              <w:right w:sz="4" w:val="single" w:color="D9E2EC"/>
            </w:tcBorders>
          </w:tcPr>
          <w:p>
            <w:r>
              <w:t>15</w:t>
            </w:r>
          </w:p>
        </w:tc>
        <w:tc>
          <w:tcPr>
            <w:tcW w:type="dxa" w:w="2520"/>
            <w:vAlign w:val="top"/>
            <w:tcBorders>
              <w:top w:sz="4" w:val="single" w:color="D9E2EC"/>
              <w:left w:sz="4" w:val="single" w:color="D9E2EC"/>
              <w:bottom w:sz="4" w:val="single" w:color="D9E2EC"/>
              <w:right w:sz="4" w:val="single" w:color="D9E2EC"/>
            </w:tcBorders>
          </w:tcPr>
          <w:p>
            <w:r/>
          </w:p>
        </w:tc>
      </w:tr>
      <w:tr>
        <w:tc>
          <w:tcPr>
            <w:tcW w:type="dxa" w:w="2520"/>
            <w:vAlign w:val="top"/>
            <w:tcBorders>
              <w:top w:sz="4" w:val="single" w:color="D9E2EC"/>
              <w:left w:sz="4" w:val="single" w:color="D9E2EC"/>
              <w:bottom w:sz="4" w:val="single" w:color="D9E2EC"/>
              <w:right w:sz="4" w:val="single" w:color="D9E2EC"/>
            </w:tcBorders>
          </w:tcPr>
          <w:p>
            <w:r>
              <w:t>Demo quality</w:t>
            </w:r>
          </w:p>
        </w:tc>
        <w:tc>
          <w:tcPr>
            <w:tcW w:type="dxa" w:w="2520"/>
            <w:vAlign w:val="top"/>
            <w:tcBorders>
              <w:top w:sz="4" w:val="single" w:color="D9E2EC"/>
              <w:left w:sz="4" w:val="single" w:color="D9E2EC"/>
              <w:bottom w:sz="4" w:val="single" w:color="D9E2EC"/>
              <w:right w:sz="4" w:val="single" w:color="D9E2EC"/>
            </w:tcBorders>
          </w:tcPr>
          <w:p>
            <w:r>
              <w:t>Demo is understandable, repeatable, and shows the system working end-to-end.</w:t>
            </w:r>
          </w:p>
        </w:tc>
        <w:tc>
          <w:tcPr>
            <w:tcW w:type="dxa" w:w="2520"/>
            <w:vAlign w:val="top"/>
            <w:tcBorders>
              <w:top w:sz="4" w:val="single" w:color="D9E2EC"/>
              <w:left w:sz="4" w:val="single" w:color="D9E2EC"/>
              <w:bottom w:sz="4" w:val="single" w:color="D9E2EC"/>
              <w:right w:sz="4" w:val="single" w:color="D9E2EC"/>
            </w:tcBorders>
          </w:tcPr>
          <w:p>
            <w:r>
              <w:t>10</w:t>
            </w:r>
          </w:p>
        </w:tc>
        <w:tc>
          <w:tcPr>
            <w:tcW w:type="dxa" w:w="2520"/>
            <w:vAlign w:val="top"/>
            <w:tcBorders>
              <w:top w:sz="4" w:val="single" w:color="D9E2EC"/>
              <w:left w:sz="4" w:val="single" w:color="D9E2EC"/>
              <w:bottom w:sz="4" w:val="single" w:color="D9E2EC"/>
              <w:right w:sz="4" w:val="single" w:color="D9E2EC"/>
            </w:tcBorders>
          </w:tcPr>
          <w:p>
            <w:r/>
          </w:p>
        </w:tc>
      </w:tr>
      <w:tr>
        <w:tc>
          <w:tcPr>
            <w:tcW w:type="dxa" w:w="2520"/>
            <w:vAlign w:val="top"/>
            <w:tcBorders>
              <w:top w:sz="4" w:val="single" w:color="D9E2EC"/>
              <w:left w:sz="4" w:val="single" w:color="D9E2EC"/>
              <w:bottom w:sz="4" w:val="single" w:color="D9E2EC"/>
              <w:right w:sz="4" w:val="single" w:color="D9E2EC"/>
            </w:tcBorders>
          </w:tcPr>
          <w:p>
            <w:r>
              <w:t>Production thinking</w:t>
            </w:r>
          </w:p>
        </w:tc>
        <w:tc>
          <w:tcPr>
            <w:tcW w:type="dxa" w:w="2520"/>
            <w:vAlign w:val="top"/>
            <w:tcBorders>
              <w:top w:sz="4" w:val="single" w:color="D9E2EC"/>
              <w:left w:sz="4" w:val="single" w:color="D9E2EC"/>
              <w:bottom w:sz="4" w:val="single" w:color="D9E2EC"/>
              <w:right w:sz="4" w:val="single" w:color="D9E2EC"/>
            </w:tcBorders>
          </w:tcPr>
          <w:p>
            <w:r>
              <w:t>Considers security, scaling, data governance, monitoring, and error handling.</w:t>
            </w:r>
          </w:p>
        </w:tc>
        <w:tc>
          <w:tcPr>
            <w:tcW w:type="dxa" w:w="2520"/>
            <w:vAlign w:val="top"/>
            <w:tcBorders>
              <w:top w:sz="4" w:val="single" w:color="D9E2EC"/>
              <w:left w:sz="4" w:val="single" w:color="D9E2EC"/>
              <w:bottom w:sz="4" w:val="single" w:color="D9E2EC"/>
              <w:right w:sz="4" w:val="single" w:color="D9E2EC"/>
            </w:tcBorders>
          </w:tcPr>
          <w:p>
            <w:r>
              <w:t>10</w:t>
            </w:r>
          </w:p>
        </w:tc>
        <w:tc>
          <w:tcPr>
            <w:tcW w:type="dxa" w:w="2520"/>
            <w:vAlign w:val="top"/>
            <w:tcBorders>
              <w:top w:sz="4" w:val="single" w:color="D9E2EC"/>
              <w:left w:sz="4" w:val="single" w:color="D9E2EC"/>
              <w:bottom w:sz="4" w:val="single" w:color="D9E2EC"/>
              <w:right w:sz="4" w:val="single" w:color="D9E2EC"/>
            </w:tcBorders>
          </w:tcPr>
          <w:p>
            <w:r/>
          </w:p>
        </w:tc>
      </w:tr>
    </w:tbl>
    <w:p>
      <w:r>
        <w:rPr>
          <w:b/>
        </w:rPr>
        <w:t xml:space="preserve">Total Score: </w:t>
      </w:r>
      <w:r>
        <w:t>____ / 100</w:t>
      </w:r>
    </w:p>
    <w:p>
      <w:pPr>
        <w:pStyle w:val="Heading1"/>
      </w:pPr>
      <w:r>
        <w:t>10. Reviewer Notes</w:t>
      </w:r>
    </w:p>
    <w:tbl>
      <w:tblPr>
        <w:tblW w:type="auto" w:w="0"/>
        <w:jc w:val="center"/>
        <w:tblLook w:firstColumn="1" w:firstRow="1" w:lastColumn="0" w:lastRow="0" w:noHBand="0" w:noVBand="1" w:val="04A0"/>
      </w:tblPr>
      <w:tblGrid>
        <w:gridCol w:w="10080"/>
      </w:tblGrid>
      <w:tr>
        <w:tc>
          <w:tcPr>
            <w:tcW w:type="dxa" w:w="10080"/>
            <w:tcBorders>
              <w:top w:sz="4" w:val="single" w:color="CBD5E1"/>
              <w:left w:sz="4" w:val="single" w:color="CBD5E1"/>
              <w:bottom w:sz="4" w:val="single" w:color="CBD5E1"/>
              <w:right w:sz="4" w:val="single" w:color="CBD5E1"/>
            </w:tcBorders>
            <w:shd w:fill="FFFFFF"/>
          </w:tcPr>
          <w:p>
            <w:r/>
            <w:r>
              <w:br/>
            </w:r>
          </w:p>
        </w:tc>
      </w:tr>
      <w:tr>
        <w:tc>
          <w:tcPr>
            <w:tcW w:type="dxa" w:w="10080"/>
            <w:tcBorders>
              <w:top w:sz="4" w:val="single" w:color="CBD5E1"/>
              <w:left w:sz="4" w:val="single" w:color="CBD5E1"/>
              <w:bottom w:sz="4" w:val="single" w:color="CBD5E1"/>
              <w:right w:sz="4" w:val="single" w:color="CBD5E1"/>
            </w:tcBorders>
            <w:shd w:fill="FFFFFF"/>
          </w:tcPr>
          <w:p>
            <w:r/>
            <w:r>
              <w:br/>
            </w:r>
          </w:p>
        </w:tc>
      </w:tr>
      <w:tr>
        <w:tc>
          <w:tcPr>
            <w:tcW w:type="dxa" w:w="10080"/>
            <w:tcBorders>
              <w:top w:sz="4" w:val="single" w:color="CBD5E1"/>
              <w:left w:sz="4" w:val="single" w:color="CBD5E1"/>
              <w:bottom w:sz="4" w:val="single" w:color="CBD5E1"/>
              <w:right w:sz="4" w:val="single" w:color="CBD5E1"/>
            </w:tcBorders>
            <w:shd w:fill="FFFFFF"/>
          </w:tcPr>
          <w:p>
            <w:r/>
            <w:r>
              <w:br/>
            </w:r>
          </w:p>
        </w:tc>
      </w:tr>
      <w:tr>
        <w:tc>
          <w:tcPr>
            <w:tcW w:type="dxa" w:w="10080"/>
            <w:tcBorders>
              <w:top w:sz="4" w:val="single" w:color="CBD5E1"/>
              <w:left w:sz="4" w:val="single" w:color="CBD5E1"/>
              <w:bottom w:sz="4" w:val="single" w:color="CBD5E1"/>
              <w:right w:sz="4" w:val="single" w:color="CBD5E1"/>
            </w:tcBorders>
            <w:shd w:fill="FFFFFF"/>
          </w:tcPr>
          <w:p>
            <w:r/>
            <w:r>
              <w:br/>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