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TrustProject – веб-приложение для комплексного анализа безопасности URL-адресов и файлов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Ямалетдинов Карим, 10 класс</w:t>
      </w:r>
    </w:p>
    <w:p>
      <w:pPr>
        <w:spacing w:after="0"/>
        <w:jc w:val="center"/>
      </w:pPr>
      <w:r>
        <w:rPr>
          <w:rFonts w:ascii="Times New Roman" w:hAnsi="Times New Roman"/>
          <w:i/>
          <w:sz w:val="24"/>
        </w:rPr>
        <w:t>МБОУ СОШ № ___, г. Казань</w:t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Научный руководитель: Петрова О.В.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/>
          <w:b w:val="0"/>
          <w:sz w:val="24"/>
        </w:rPr>
        <w:t>Современное интернет-пространство динамично развивается: более 2 миллиардов веб-сайтов и 500 тысяч новых файлов ежедневно. По данным Positive Technologies, количество кибератак увеличилось на 32% в 2024 году, 68% атак направлены на рядовых пользователей. В образовательной среде ситуация особенно критична: 74% школьников сталкивались с мошенническими сайтами, 56% загружали вредоносные файлы.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/>
          <w:b/>
          <w:sz w:val="24"/>
        </w:rPr>
        <w:t>Цель работы: разработка веб-приложения TrustProject – комплексной системы для анализа безопасности URL-адресов и файлов, интегрирующей современные технологии детектирования угроз.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/>
          <w:b/>
          <w:sz w:val="24"/>
        </w:rPr>
        <w:t>Задачи: провести аналитический обзор существующих решений для проверки безопасности; изучить теоретические основы детектирования вредоносного контента; разработать архитектуру и реализовать систему TrustProject; провести тестирование системы.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/>
          <w:b w:val="0"/>
          <w:sz w:val="24"/>
        </w:rPr>
        <w:t>Проведён аналитический обзор предметной области. Профессиональные платформы (VirusTotal, Hybrid Analysis) обладают высокой точностью, но сложны для неподготовленных пользователей и имеют ограничения бесплатного доступа. Браузерные расширения (Norton Safe Web) удобны, но ограничены функциональностью. Онлайн-сервисы (Sucuri) просты, но имеют недостаточную глубину анализа.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/>
          <w:b w:val="0"/>
          <w:sz w:val="24"/>
        </w:rPr>
        <w:t>Изучены теоретические основы анализа безопасности: статический анализ (проверка без выполнения), динамический анализ (в песочнице), гибридный анализ (комбинация методов). Применяются энтропийный анализ (вычисление энтропии Шеннона), сигнатурный анализ, проверка SSL/TLS сертификатов.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/>
          <w:b w:val="0"/>
          <w:sz w:val="24"/>
        </w:rPr>
        <w:t>Разработана архитектура системы с трёхзвенной структурой: уровень представления (HTML5/CSS3/JavaScript), уровень бизнес-логики (Python, Flask), уровень данных (SQLite). Реализованы функциональные модули: анализ URL (интеграция с VirusTotal API, Google Safe Browsing API, WHOIS, AbuseIPDB), анализ файлов (SHA-256, статический и поведенческий анализ, Hybrid Analysis API), социальный модуль (комментарии, голосования), визуализация (Chart.js, vis-network).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/>
          <w:b w:val="0"/>
          <w:sz w:val="24"/>
        </w:rPr>
        <w:t>Система оценки доверия рассчитывает общую оценку безопасности от 0 до 100 баллов по формуле: Total_Score = (AV_Score × 0.4) + (Behavior_Score × 0.25) + (Reputation_Score × 0.15) + (Technical_Score × 0.1) + (Social_Score × 0.1). Цветовая кодировка: красный (0-39, опасный), оранжевый (40-69, подозрительный), жёлтый (70-89, умеренно безопасный), зелёный (90-100, безопасный).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/>
          <w:b w:val="0"/>
          <w:sz w:val="24"/>
        </w:rPr>
        <w:t>Технологический стек: Python 3.12+, Flask 2.3.3, SQLAlchemy (backend); HTML5, CSS3, Tailwind CSS, Chart.js (frontend); SQLite (база данных); интеграции с VirusTotal API, Google Safe Browsing API, Hybrid Analysis API, AbuseIPDB API.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/>
          <w:b w:val="0"/>
          <w:sz w:val="24"/>
        </w:rPr>
        <w:t>Преимущества разработанного приложения: комплексность – единый интерфейс для URL и файлов; доступность – бесплатное использование без ограничений; понятность – оценка 0-100 с цветовой индикацией; образовательный компонент – система комментариев и голосований; русскоязычный интерфейс.</w:t>
      </w:r>
    </w:p>
    <w:p>
      <w:pPr>
        <w:spacing w:line="240" w:lineRule="auto" w:after="60"/>
        <w:ind w:firstLine="709"/>
        <w:jc w:val="both"/>
      </w:pPr>
      <w:r>
        <w:rPr>
          <w:rFonts w:ascii="Times New Roman" w:hAnsi="Times New Roman"/>
          <w:b w:val="0"/>
          <w:sz w:val="24"/>
        </w:rPr>
        <w:t>Практическая значимость: инструмент может использоваться образовательными учреждениями для обучения цифровой грамотности, индивидуальными пользователями для проверки подозрительных ссылок и файлов, системными администраторами для мониторинга безопасности.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