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rPr>
          <w:sz w:val="120"/>
          <w:szCs w:val="120"/>
        </w:rPr>
        <w:t xml:space="preserve"/>
      </w:r>
    </w:p>
    <w:p>
      <w:pPr>
        <w:spacing w:after="240"/>
        <w:jc w:val="center"/>
      </w:pPr>
      <w:r>
        <w:rPr>
          <w:b/>
          <w:bCs/>
          <w:color w:val="2E5C8A"/>
          <w:sz w:val="72"/>
          <w:szCs w:val="72"/>
        </w:rPr>
        <w:t xml:space="preserve">IMMERSIFY</w:t>
      </w:r>
    </w:p>
    <w:p>
      <w:pPr>
        <w:spacing w:after="120"/>
        <w:jc w:val="center"/>
      </w:pPr>
      <w:r>
        <w:rPr>
          <w:color w:val="5A9BD5"/>
          <w:sz w:val="36"/>
          <w:szCs w:val="36"/>
        </w:rPr>
        <w:t xml:space="preserve">Software Requirements Specification</w:t>
      </w:r>
    </w:p>
    <w:p>
      <w:pPr>
        <w:spacing w:after="1440"/>
        <w:jc w:val="center"/>
      </w:pPr>
      <w:r>
        <w:rPr>
          <w:sz w:val="28"/>
          <w:szCs w:val="28"/>
        </w:rPr>
        <w:t xml:space="preserve">Version 3.0 - Comprehensive Edition</w:t>
      </w:r>
    </w:p>
    <w:p>
      <w:pPr>
        <w:spacing w:after="2880"/>
        <w:jc w:val="center"/>
      </w:pPr>
      <w:r>
        <w:rPr>
          <w:i/>
          <w:iCs/>
          <w:color w:val="3D7AB8"/>
          <w:sz w:val="24"/>
          <w:szCs w:val="24"/>
        </w:rPr>
        <w:t xml:space="preserve">🌱 From Soil to Stars: Building Brands That Last 🚀</w:t>
      </w:r>
    </w:p>
    <w:p>
      <w:pPr>
        <w:spacing w:before="480" w:after="240"/>
      </w:pPr>
      <w:r>
        <w:rPr>
          <w:b/>
          <w:bCs/>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pPr>
              <w:jc w:val="left"/>
            </w:pPr>
            <w:r>
              <w:rPr>
                <w:b/>
                <w:bCs/>
                <w:sz w:val="24"/>
                <w:szCs w:val="24"/>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Immersify - AI-Powered Brand Building Platform</w:t>
            </w:r>
          </w:p>
        </w:tc>
      </w:tr>
      <w:tr>
        <w:tc>
          <w:tcPr>
            <w:tcW w:type="dxa" w:w="30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pPr>
              <w:jc w:val="left"/>
            </w:pPr>
            <w:r>
              <w:rPr>
                <w:b/>
                <w:bCs/>
                <w:sz w:val="24"/>
                <w:szCs w:val="24"/>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3.0 (Comprehensive Production-Ready Specification)</w:t>
            </w:r>
          </w:p>
        </w:tc>
      </w:tr>
      <w:tr>
        <w:tc>
          <w:tcPr>
            <w:tcW w:type="dxa" w:w="30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pPr>
              <w:jc w:val="left"/>
            </w:pPr>
            <w:r>
              <w:rPr>
                <w:b/>
                <w:bCs/>
                <w:sz w:val="24"/>
                <w:szCs w:val="24"/>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February 10, 2026</w:t>
            </w:r>
          </w:p>
        </w:tc>
      </w:tr>
      <w:tr>
        <w:tc>
          <w:tcPr>
            <w:tcW w:type="dxa" w:w="30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pPr>
              <w:jc w:val="left"/>
            </w:pPr>
            <w:r>
              <w:rPr>
                <w:b/>
                <w:bCs/>
                <w:sz w:val="24"/>
                <w:szCs w:val="24"/>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Immersify Development Team</w:t>
            </w:r>
          </w:p>
        </w:tc>
      </w:tr>
      <w:tr>
        <w:tc>
          <w:tcPr>
            <w:tcW w:type="dxa" w:w="30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pPr>
              <w:jc w:val="left"/>
            </w:pPr>
            <w:r>
              <w:rPr>
                <w:b/>
                <w:bCs/>
                <w:sz w:val="24"/>
                <w:szCs w:val="24"/>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Final - Ready for Implementation</w:t>
            </w:r>
          </w:p>
        </w:tc>
      </w:tr>
      <w:tr>
        <w:tc>
          <w:tcPr>
            <w:tcW w:type="dxa" w:w="30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pPr>
              <w:jc w:val="left"/>
            </w:pPr>
            <w:r>
              <w:rPr>
                <w:b/>
                <w:bCs/>
                <w:sz w:val="24"/>
                <w:szCs w:val="24"/>
              </w:rPr>
              <w:t xml:space="preserve">Target Launch: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August 10, 2026 (6-month development sprint)</w:t>
            </w:r>
          </w:p>
        </w:tc>
      </w:tr>
      <w:tr>
        <w:tc>
          <w:tcPr>
            <w:tcW w:type="dxa" w:w="30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pPr>
              <w:jc w:val="left"/>
            </w:pPr>
            <w:r>
              <w:rPr>
                <w:b/>
                <w:bCs/>
                <w:sz w:val="24"/>
                <w:szCs w:val="24"/>
              </w:rPr>
              <w:t xml:space="preserve">Document 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Confidential &amp; Proprietary - Internal Use Only</w:t>
            </w:r>
          </w:p>
        </w:tc>
      </w:tr>
      <w:tr>
        <w:tc>
          <w:tcPr>
            <w:tcW w:type="dxa" w:w="3000"/>
            <w:tcBorders>
              <w:top w:val="single" w:color="CCCCCC" w:sz="1"/>
              <w:left w:val="single" w:color="CCCCCC" w:sz="1"/>
              <w:bottom w:val="single" w:color="CCCCCC" w:sz="1"/>
              <w:right w:val="single" w:color="CCCCCC" w:sz="1"/>
            </w:tcBorders>
            <w:shd w:fill="E7F3FF" w:val="clear"/>
            <w:tcMar>
              <w:top w:type="dxa" w:w="80"/>
              <w:left w:type="dxa" w:w="120"/>
              <w:bottom w:type="dxa" w:w="80"/>
              <w:right w:type="dxa" w:w="120"/>
            </w:tcMar>
          </w:tcPr>
          <w:p>
            <w:pPr>
              <w:jc w:val="left"/>
            </w:pPr>
            <w:r>
              <w:rPr>
                <w:b/>
                <w:bCs/>
                <w:sz w:val="24"/>
                <w:szCs w:val="24"/>
              </w:rPr>
              <w:t xml:space="preserve">Total Pages: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200+ pages (4-part comprehensive documentation)</w:t>
            </w:r>
          </w:p>
        </w:tc>
      </w:tr>
    </w:tbl>
    <w:p>
      <w:r>
        <w:br w:type="page"/>
      </w:r>
    </w:p>
    <w:p>
      <w:pPr>
        <w:pStyle w:val="Heading1"/>
        <w:pageBreakBefore/>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Pr>
      <w:r>
        <w:t xml:space="preserve">1. Introduction</w:t>
      </w:r>
    </w:p>
    <w:p>
      <w:pPr>
        <w:pStyle w:val="Heading2"/>
      </w:pPr>
      <w:r>
        <w:t xml:space="preserve">1.1 Purpose</w:t>
      </w:r>
    </w:p>
    <w:p>
      <w:pPr>
        <w:spacing w:after="240"/>
      </w:pPr>
      <w:r>
        <w:t xml:space="preserve">The purpose of this Software Requirements Specification (SRS) document is to provide a comprehensive, detailed blueprint for the Immersify platform—an AI-driven brand building solution designed to empower businesses, freelancers, and agencies at every stage of brand maturity. This document serves as the authoritative reference for developers, designers, product managers, quality assurance teams, and all stakeholders involved in building, deploying, and maintaining the Immersify ecosystem.</w:t>
      </w:r>
    </w:p>
    <w:p>
      <w:pPr>
        <w:spacing w:after="240"/>
      </w:pPr>
      <w:r>
        <w:t xml:space="preserve">Immersify addresses fundamental challenges in the branding industry: the high cost of professional branding services ($10,000-$100,000+ for traditional agencies), the complexity of strategic frameworks that intimidate non-experts, and the lack of systematic, evidence-based tools that guide users from concept to market-ready brand. By combining structured methodologies, real-time AI mentorship, and gamified progression mechanics, Immersify democratizes professional-grade brand building.</w:t>
      </w:r>
    </w:p>
    <w:p>
      <w:pPr>
        <w:spacing w:after="360"/>
      </w:pPr>
      <w:r>
        <w:t xml:space="preserve">This SRS ensures that all functional and non-functional requirements align with Immersify's core mission: to enable anyone—from solo entrepreneurs to enterprise teams—to build emotionally resonant, strategically sound, and operationally consistent brands without requiring extensive branding expertise or prohibitive budgets. By documenting every requirement to the finest detail, this specification eliminates ambiguity, reduces development risks, and provides a clear roadmap for implementation.</w:t>
      </w:r>
    </w:p>
    <w:p>
      <w:pPr>
        <w:spacing w:after="180"/>
      </w:pPr>
      <w:r>
        <w:rPr>
          <w:b/>
          <w:bCs/>
          <w:sz w:val="26"/>
          <w:szCs w:val="26"/>
        </w:rPr>
        <w:t xml:space="preserve">Key Objectives of This Document:</w:t>
      </w:r>
    </w:p>
    <w:p>
      <w:pPr>
        <w:pStyle w:val="ListParagraph"/>
        <w:numPr>
          <w:ilvl w:val="0"/>
          <w:numId w:val="2"/>
        </w:numPr>
      </w:pPr>
      <w:r>
        <w:t xml:space="preserve">Provide Clarity: Define every feature, interaction, and system behavior with sufficient detail that implementation teams can work independently without requiring constant clarification.</w:t>
      </w:r>
    </w:p>
    <w:p>
      <w:pPr>
        <w:pStyle w:val="ListParagraph"/>
        <w:numPr>
          <w:ilvl w:val="0"/>
          <w:numId w:val="2"/>
        </w:numPr>
      </w:pPr>
      <w:r>
        <w:t xml:space="preserve">Ensure Consistency: Establish standardized terminology, data models, and interaction patterns that ensure a cohesive user experience across web, mobile, and future platforms.</w:t>
      </w:r>
    </w:p>
    <w:p>
      <w:pPr>
        <w:pStyle w:val="ListParagraph"/>
        <w:numPr>
          <w:ilvl w:val="0"/>
          <w:numId w:val="2"/>
        </w:numPr>
      </w:pPr>
      <w:r>
        <w:t xml:space="preserve">Enable Quality Assurance: Provide testable acceptance criteria for every requirement, allowing QA teams to verify that implemented features meet specifications.</w:t>
      </w:r>
    </w:p>
    <w:p>
      <w:pPr>
        <w:pStyle w:val="ListParagraph"/>
        <w:numPr>
          <w:ilvl w:val="0"/>
          <w:numId w:val="2"/>
        </w:numPr>
      </w:pPr>
      <w:r>
        <w:t xml:space="preserve">Support Scalability: Document architectural decisions, data models, and integration patterns that support growth from hundreds to millions of users.</w:t>
      </w:r>
    </w:p>
    <w:p>
      <w:pPr>
        <w:pStyle w:val="ListParagraph"/>
        <w:numPr>
          <w:ilvl w:val="0"/>
          <w:numId w:val="2"/>
        </w:numPr>
      </w:pPr>
      <w:r>
        <w:t xml:space="preserve">Facilitate Stakeholder Alignment: Serve as a single source of truth that aligns business stakeholders, investors, development teams, and end users on product vision and capabilities.</w:t>
      </w:r>
    </w:p>
    <w:p>
      <w:pPr>
        <w:pStyle w:val="ListParagraph"/>
        <w:numPr>
          <w:ilvl w:val="0"/>
          <w:numId w:val="2"/>
        </w:numPr>
      </w:pPr>
      <w:r>
        <w:t xml:space="preserve">Reduce Development Risk: Identify technical dependencies, integration requirements, and potential challenges before development begins, minimizing costly mid-project pivots.</w:t>
      </w:r>
    </w:p>
    <w:p>
      <w:r>
        <w:br w:type="page"/>
      </w:r>
    </w:p>
    <w:p>
      <w:pPr>
        <w:pStyle w:val="Heading2"/>
      </w:pPr>
      <w:r>
        <w:t xml:space="preserve">1.2 Scope</w:t>
      </w:r>
    </w:p>
    <w:p>
      <w:pPr>
        <w:spacing w:after="360"/>
      </w:pPr>
      <w:r>
        <w:t xml:space="preserve">The scope of Immersify encompasses a comprehensive brand building platform that guides users through the complete brand lifecycle: from initial brand discovery and identity formation, through strategic development and visual system creation, to ongoing brand management, consistency maintenance, and performance optimization. The platform is designed to serve three distinct user personas (Brand Owners, Freelancers, and Agencies) across four maturity tiers (Seed, Sprout, Star, Superbrand), each with progressively sophisticated capabilities tailored to their unique needs and challenges.</w:t>
      </w:r>
    </w:p>
    <w:p>
      <w:pPr>
        <w:spacing w:after="180"/>
      </w:pPr>
      <w:r>
        <w:rPr>
          <w:b/>
          <w:bCs/>
          <w:sz w:val="26"/>
          <w:szCs w:val="26"/>
        </w:rPr>
        <w:t xml:space="preserve">Platform Coverage:</w:t>
      </w:r>
    </w:p>
    <w:p>
      <w:pPr>
        <w:spacing w:after="120"/>
      </w:pPr>
      <w:r>
        <w:rPr>
          <w:b/>
          <w:bCs/>
        </w:rPr>
        <w:t xml:space="preserve">1. Core Brand Building Modules (MVP - Months 1-6):</w:t>
      </w:r>
    </w:p>
    <w:p>
      <w:pPr>
        <w:pStyle w:val="ListParagraph"/>
        <w:numPr>
          <w:ilvl w:val="0"/>
          <w:numId w:val="2"/>
        </w:numPr>
      </w:pPr>
      <w:r>
        <w:t xml:space="preserve">Tier Placement Quiz: 5-question diagnostic that accurately assesses brand maturity across operational time, team size, market presence, revenue, and customer base dimensions.</w:t>
      </w:r>
    </w:p>
    <w:p>
      <w:pPr>
        <w:pStyle w:val="ListParagraph"/>
        <w:numPr>
          <w:ilvl w:val="0"/>
          <w:numId w:val="2"/>
        </w:numPr>
      </w:pPr>
      <w:r>
        <w:t xml:space="preserve">Brand Health Score (V2 Snapshot): Rapid 56-question assessment across 8 IBE (Immersive Brand Experience) pillars, generating evidence-based health scores with radar chart visualization and tier-relative benchmarking.</w:t>
      </w:r>
    </w:p>
    <w:p>
      <w:pPr>
        <w:pStyle w:val="ListParagraph"/>
        <w:numPr>
          <w:ilvl w:val="0"/>
          <w:numId w:val="2"/>
        </w:numPr>
      </w:pPr>
      <w:r>
        <w:t xml:space="preserve">Comprehensive Workbook (V3 Deep Dive): 128 content blocks spanning 8 pillars × 4 tiers × 4 sub-sections, featuring real-time AI mentor feedback, evidence-based verification systems, and asset inventory checklists.</w:t>
      </w:r>
    </w:p>
    <w:p>
      <w:pPr>
        <w:pStyle w:val="ListParagraph"/>
        <w:numPr>
          <w:ilvl w:val="0"/>
          <w:numId w:val="2"/>
        </w:numPr>
      </w:pPr>
      <w:r>
        <w:t xml:space="preserve">AI Strategy Generator: Dual-mode generation (From Audit OR Standalone Brief) producing complete 8-pillar brand strategies plus Copywriting Suite with version control and collaborative editing.</w:t>
      </w:r>
    </w:p>
    <w:p>
      <w:pPr>
        <w:pStyle w:val="ListParagraph"/>
        <w:numPr>
          <w:ilvl w:val="0"/>
          <w:numId w:val="2"/>
        </w:numPr>
      </w:pPr>
      <w:r>
        <w:t xml:space="preserve">Multi-Format Export Suite: Professional outputs in PDF (brand guidelines), DOCX (editable documents), Text (plain text), and AI Prompts (for image generation, presentations, creative campaigns).</w:t>
      </w:r>
    </w:p>
    <w:p>
      <w:pPr>
        <w:pStyle w:val="ListParagraph"/>
        <w:numPr>
          <w:ilvl w:val="0"/>
          <w:numId w:val="2"/>
        </w:numPr>
      </w:pPr>
      <w:r>
        <w:t xml:space="preserve">'From Soil to Stars' Gamification: Evidence-based progression system with XP, 5 levels (Seedling→Builder→Architect→Master→Legend), 20+ achievements, daily streaks, and avatar evolution from Farmer to Astronaut.</w:t>
      </w:r>
    </w:p>
    <w:p>
      <w:pPr>
        <w:spacing w:before="240" w:after="120"/>
      </w:pPr>
      <w:r>
        <w:rPr>
          <w:b/>
          <w:bCs/>
        </w:rPr>
        <w:t xml:space="preserve">2. Tools &amp; Utilities:</w:t>
      </w:r>
    </w:p>
    <w:p>
      <w:pPr>
        <w:pStyle w:val="ListParagraph"/>
        <w:numPr>
          <w:ilvl w:val="0"/>
          <w:numId w:val="2"/>
        </w:numPr>
      </w:pPr>
      <w:r>
        <w:t xml:space="preserve">Name Availability Checker: Domain search via Namecheap API, social handle verification (Instagram/Twitter/TikTok/LinkedIn), trademark search (USPTO integration for paid tiers), AI-powered name analysis (memorability/pronounceability/uniqueness), alternative suggestions with affiliate revenue potential.</w:t>
      </w:r>
    </w:p>
    <w:p>
      <w:pPr>
        <w:pStyle w:val="ListParagraph"/>
        <w:numPr>
          <w:ilvl w:val="0"/>
          <w:numId w:val="2"/>
        </w:numPr>
      </w:pPr>
      <w:r>
        <w:t xml:space="preserve">Template Library: Tier-scaled access (Seed=5, Sprout=15, Star=30, Superbrand=50+ templates) across categories: Brand Core (mission statements, competitor analysis), Visual Identity (style guides, color palettes), Marketing (content calendars, social templates), Strategy (SWOT, business model canvas).</w:t>
      </w:r>
    </w:p>
    <w:p>
      <w:pPr>
        <w:pStyle w:val="ListParagraph"/>
        <w:numPr>
          <w:ilvl w:val="0"/>
          <w:numId w:val="2"/>
        </w:numPr>
      </w:pPr>
      <w:r>
        <w:t xml:space="preserve">Interactive Onboarding Tour: Step-by-step product introduction with contextual tooltips, video walkthroughs, progress checklist, and role-specific paths for Brand Owners vs Freelancers vs Agencies.</w:t>
      </w:r>
    </w:p>
    <w:p>
      <w:r>
        <w:br w:type="page"/>
      </w:r>
    </w:p>
    <w:p>
      <w:pPr>
        <w:spacing w:before="240" w:after="120"/>
      </w:pPr>
      <w:r>
        <w:rPr>
          <w:b/>
          <w:bCs/>
        </w:rPr>
        <w:t xml:space="preserve">3. Lead Generation &amp; Virality Mechanisms:</w:t>
      </w:r>
    </w:p>
    <w:p>
      <w:pPr>
        <w:pStyle w:val="ListParagraph"/>
        <w:numPr>
          <w:ilvl w:val="0"/>
          <w:numId w:val="2"/>
        </w:numPr>
      </w:pPr>
      <w:r>
        <w:t xml:space="preserve">Public Brand Quiz: No-login-required viral quiz based on 4 Brand Growth Strategies (Wildfire, Deep Root, Ecosystem, Hybrid) with 12 questions, shareable results with auto-generated Open Graph images, email capture funnel (expected: 1000 starts → 700 completions → 350 emails → 70 accounts → 7 paid conversions), embed widget for partner websites.</w:t>
      </w:r>
    </w:p>
    <w:p>
      <w:pPr>
        <w:spacing w:before="240" w:after="120"/>
      </w:pPr>
      <w:r>
        <w:rPr>
          <w:b/>
          <w:bCs/>
        </w:rPr>
        <w:t xml:space="preserve">4. Integration Ecosystem:</w:t>
      </w:r>
    </w:p>
    <w:p>
      <w:pPr>
        <w:pStyle w:val="ListParagraph"/>
        <w:numPr>
          <w:ilvl w:val="0"/>
          <w:numId w:val="2"/>
        </w:numPr>
      </w:pPr>
      <w:r>
        <w:t xml:space="preserve">Google Drive Integration: OAuth 2.0 authentication, automatic export of completed strategies to user-designated folders, permission management, version history sync.</w:t>
      </w:r>
    </w:p>
    <w:p>
      <w:pPr>
        <w:pStyle w:val="ListParagraph"/>
        <w:numPr>
          <w:ilvl w:val="0"/>
          <w:numId w:val="2"/>
        </w:numPr>
      </w:pPr>
      <w:r>
        <w:t xml:space="preserve">Zapier Integration: Webhook-based connection enabling 5,000+ app integrations (Trello, Asana, Notion, Slack, Mailchimp, Airtable, Google Sheets, etc.) with trigger events (New Project Created, Brand Health Score Updated, Strategy Generated, etc.) and action endpoints.</w:t>
      </w:r>
    </w:p>
    <w:p>
      <w:pPr>
        <w:spacing w:before="240" w:after="120"/>
      </w:pPr>
      <w:r>
        <w:rPr>
          <w:b/>
          <w:bCs/>
        </w:rPr>
        <w:t xml:space="preserve">5. Mobile Applications:</w:t>
      </w:r>
    </w:p>
    <w:p>
      <w:pPr>
        <w:pStyle w:val="ListParagraph"/>
        <w:numPr>
          <w:ilvl w:val="0"/>
          <w:numId w:val="2"/>
        </w:numPr>
      </w:pPr>
      <w:r>
        <w:t xml:space="preserve">React Native Mobile App: iOS and Android applications with 95% code sharing, bottom tab navigation (Home/Audit/Strategy/Tools/Profile), push notifications via Firebase Cloud Messaging, offline mode with AsyncStorage + SQLite, camera integration for logo uploads, biometric authentication (Face ID/Touch ID), deep linking support.</w:t>
      </w:r>
    </w:p>
    <w:p>
      <w:pPr>
        <w:spacing w:before="480" w:after="180"/>
      </w:pPr>
      <w:r>
        <w:rPr>
          <w:b/>
          <w:bCs/>
          <w:sz w:val="26"/>
          <w:szCs w:val="26"/>
        </w:rPr>
        <w:t xml:space="preserve">Out of Scope (Phase 2 &amp; Beyond):</w:t>
      </w:r>
    </w:p>
    <w:p>
      <w:pPr>
        <w:pStyle w:val="ListParagraph"/>
        <w:numPr>
          <w:ilvl w:val="0"/>
          <w:numId w:val="2"/>
        </w:numPr>
      </w:pPr>
      <w:r>
        <w:t xml:space="preserve">Freelancer Marketplace: Two-sided platform launching Month 7-10 after achieving 1,000+ user base to solve chicken-egg problem.</w:t>
      </w:r>
    </w:p>
    <w:p>
      <w:pPr>
        <w:pStyle w:val="ListParagraph"/>
        <w:numPr>
          <w:ilvl w:val="0"/>
          <w:numId w:val="2"/>
        </w:numPr>
      </w:pPr>
      <w:r>
        <w:t xml:space="preserve">SaaS Referral Hub: Curated partner tool directory with affiliate revenue streams.</w:t>
      </w:r>
    </w:p>
    <w:p>
      <w:pPr>
        <w:pStyle w:val="ListParagraph"/>
        <w:numPr>
          <w:ilvl w:val="0"/>
          <w:numId w:val="2"/>
        </w:numPr>
      </w:pPr>
      <w:r>
        <w:t xml:space="preserve">Brand Consistency Checker: AI-powered asset scanning across digital channels.</w:t>
      </w:r>
    </w:p>
    <w:p>
      <w:pPr>
        <w:pStyle w:val="ListParagraph"/>
        <w:numPr>
          <w:ilvl w:val="0"/>
          <w:numId w:val="2"/>
        </w:numPr>
      </w:pPr>
      <w:r>
        <w:t xml:space="preserve">Team Collaboration Features: Multi-user access, real-time co-editing, role-based permissions.</w:t>
      </w:r>
    </w:p>
    <w:p>
      <w:pPr>
        <w:pStyle w:val="ListParagraph"/>
        <w:numPr>
          <w:ilvl w:val="0"/>
          <w:numId w:val="2"/>
        </w:numPr>
      </w:pPr>
      <w:r>
        <w:t xml:space="preserve">White-Label Platform: Agency rebrand capability for $500-2000/month.</w:t>
      </w:r>
    </w:p>
    <w:p>
      <w:pPr>
        <w:pStyle w:val="ListParagraph"/>
        <w:numPr>
          <w:ilvl w:val="0"/>
          <w:numId w:val="2"/>
        </w:numPr>
      </w:pPr>
      <w:r>
        <w:t xml:space="preserve">Public API: Developer access for third-party integrations.</w:t>
      </w:r>
    </w:p>
    <w:p>
      <w:r>
        <w:br w:type="page"/>
      </w:r>
    </w:p>
    <w:p>
      <w:pPr>
        <w:pStyle w:val="Heading2"/>
      </w:pPr>
      <w:r>
        <w:t xml:space="preserve">1.3 Definitions, Acronyms, and Abbreviations</w:t>
      </w:r>
    </w:p>
    <w:p>
      <w:pPr>
        <w:spacing w:after="360"/>
      </w:pPr>
      <w:r>
        <w:t xml:space="preserve">This section provides standardized definitions for all terminology, acronyms, and abbreviations used throughout this document. Consistent use of these terms ensures clear communication among all stakeholders and reduces ambiguity during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b/>
                <w:bCs/>
                <w:sz w:val="24"/>
                <w:szCs w:val="24"/>
              </w:rPr>
              <w:t xml:space="preserve">Term / Acronym</w:t>
            </w:r>
          </w:p>
        </w:tc>
        <w:tc>
          <w:tcPr>
            <w:tcW w:type="dxa" w:w="6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pPr>
              <w:jc w:val="left"/>
            </w:pPr>
            <w:r>
              <w:rPr>
                <w:b/>
                <w:bCs/>
                <w:sz w:val="24"/>
                <w:szCs w:val="24"/>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Immersify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The comprehensive AI-powered brand building platform described in this document. Named to reflect the Immersive Brand Experience methodology.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IBE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Immersive Brand Experience - The proprietary 8-pillar framework that structures brand development across: (1) Brand Core Story &amp; Ideation, (2) Visual Identity, (3) Product Experience, (4) Market Plan, (5) Technology &amp; Accessibility, (6) Brand Activation, (7) Team Branding, (8) Security &amp; Trust.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Brand Health Score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A percentage-based metric (0-100%) calculated from evidence-based verification of brand foundation, execution, and consistency. Weighted formula: Foundation (40%) + Execution (35%) + Consistency (25%).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Tier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User subscription level determining feature access and content depth. Four tiers: Seed (freemium), Sprout ($49/mo), Star ($199/mo), Superbrand ($499/mo).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User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Classification of user role: Brand Owner (building own brand), Freelancer (serving clients), Agency (team managing multiple client brands).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AI Mentor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Real-time AI feedback system using Google Gemini 1.5 Flash that provides contextual guidance, critique, and improvement suggestions as users answer workbook questions. Response time target: &lt;3 seconds.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XP (Experience Points)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Gamification currency earned through evidence-based brand-building activities. Not arbitrary—only awarded for completing verifiable milestones (e.g., uploading mission statement = 50 XP).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Pillar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One of eight strategic domains in the IBE framework. Each pillar contains 4 sub-sections with tier-specific content depth.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Sub-Section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Division within a pillar (e.g., Pillar 1 has: 1.1 Core Identity, 1.2 Values &amp; Beliefs, 1.3 Purpose &amp; Mission, 1.4 Positioning). Each contains questions and AI mentor interactions.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Snapshot (V2)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Quick brand health diagnostic with 56 questions (7 per pillar) providing rapid assessment and radar chart visualization. Precursor to full workbook.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Workbook (V3)</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Comprehensive brand building interface with 128 content blocks (8 pillars × 4 tiers × 4 sub-sections). Includes AI mentorship, evidence verification, asset checklists.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Strategy Generator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AI-powered document creation system using Google Gemini 1.5 Pro that synthesizes workbook responses into complete 8-pillar brand strategies with copywriting suite.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From Soil to Stars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The platform's gamification theme representing brand journey from foundation (Seed/Soil) to market success (Superbrand/Stars). Features character evolution from Farmer to Astronaut.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Growth Strategy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Classification from Brand Quiz: Wildfire (rapid expansion), Deep Root (trust-based growth), Ecosystem (partnership-driven), Hybrid (multi-channel adaptive).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SRS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Software Requirements Specification - This document defining all functional and non-functional requirements.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GDPR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General Data Protection Regulation - EU data protection law requiring explicit consent, right to access/erasure, data portability, privacy by design.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CCPA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California Consumer Privacy Act - California privacy law granting similar rights as GDPR for California residents.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PCI-DSS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Payment Card Industry Data Security Standard - Requirements for secure handling of credit card information. Managed through Stripe integration.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JWT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JSON Web Token - Authentication mechanism using cryptographically signed tokens with 7-day expiration for security.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OAuth 2.0</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Open Authorization 2.0 - Industry-standard protocol for secure third-party authentication (Google, LinkedIn).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API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Application Programming Interface - Structured communication protocol between frontend/backend and external services.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REST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Representational State Transfer - Architectural style for API design using HTTP methods (GET, POST, PUT, DELETE).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PostgreSQL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Open-source relational database management system chosen for enterprise scalability, ACID compliance, JSON support (JSONB), full-text search.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Redis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In-memory data structure store used for caching, session management, rate limiting. Improves response times by 10-100x for frequently accessed data.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Gemini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Google's AI model family. Immersify uses Gemini 1.5 Flash (real-time feedback) and Gemini 1.5 Pro (strategy generation).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CDN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Content Delivery Network - Distributed server network (Vercel Edge) that caches static assets globally for sub-100ms load times.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UX</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User Experience - Overall experience users have interacting with the platform, including usability, accessibility, delight factors.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UI</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User Interface - Visual and interactive elements users see and click (buttons, forms, navigation, typography, colors).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MVP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Minimum Viable Product - Initial 6-month development phase (Feb-Aug 2026) delivering 13 core modules to validate product-market fit.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MRR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Monthly Recurring Revenue - Key SaaS metric tracking predictable monthly subscription income. Target Month 6: $15,000 MRR.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ARR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Annual Recurring Revenue - MRR × 12. Conservative Year 1 target: $540,000 ARR from subscription revenue alone.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Churn Rate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sz w:val="24"/>
                <w:szCs w:val="24"/>
              </w:rPr>
              <w:t xml:space="preserve">Percentage of subscribers who cancel monthly. Target: &lt;5% (industry average: 3-8% for B2B SaaS).</w:t>
            </w:r>
          </w:p>
        </w:tc>
      </w:tr>
    </w:tbl>
    <w:p>
      <w: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999999"/>
        <w:sz w:val="18"/>
        <w:szCs w:val="18"/>
      </w:rPr>
      <w:t xml:space="preserve"> | Confidential &amp; Proprietary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Immersify SRS 3.0 - Part 1 (Comprehensive)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qFormat/>
    <w:pPr>
      <w:pBdr>
        <w:bottom w:val="single" w:color="2E5C8A" w:sz="6"/>
      </w:pBdr>
      <w:spacing w:before="480" w:after="240"/>
      <w:outlineLvl w:val="0"/>
    </w:pPr>
    <w:rPr>
      <w:rFonts w:ascii="Arial" w:cs="Arial" w:eastAsia="Arial" w:hAnsi="Arial"/>
      <w:b/>
      <w:bCs/>
      <w:color w:val="2E5C8A"/>
      <w:sz w:val="32"/>
      <w:szCs w:val="32"/>
    </w:rPr>
  </w:style>
  <w:style w:type="paragraph" w:styleId="Heading2">
    <w:name w:val="Heading 2"/>
    <w:basedOn w:val="Normal"/>
    <w:qFormat/>
    <w:pPr>
      <w:spacing w:before="360" w:after="180"/>
      <w:outlineLvl w:val="1"/>
    </w:pPr>
    <w:rPr>
      <w:rFonts w:ascii="Arial" w:cs="Arial" w:eastAsia="Arial" w:hAnsi="Arial"/>
      <w:b/>
      <w:bCs/>
      <w:color w:val="3D7AB8"/>
      <w:sz w:val="28"/>
      <w:szCs w:val="28"/>
    </w:rPr>
  </w:style>
  <w:style w:type="paragraph" w:styleId="Heading3">
    <w:name w:val="Heading 3"/>
    <w:basedOn w:val="Normal"/>
    <w:qFormat/>
    <w:pPr>
      <w:spacing w:before="240" w:after="120"/>
      <w:outlineLvl w:val="2"/>
    </w:pPr>
    <w:rPr>
      <w:rFonts w:ascii="Arial" w:cs="Arial" w:eastAsia="Arial" w:hAnsi="Arial"/>
      <w:b/>
      <w:bCs/>
      <w:color w:val="5A9BD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2026-02-10T22:21:38.720Z</dcterms:created>
  <dcterms:modified xsi:type="dcterms:W3CDTF">2026-02-10T22:21:38.721Z</dcterms:modified>
</cp:coreProperties>
</file>

<file path=docProps/custom.xml><?xml version="1.0" encoding="utf-8"?>
<Properties xmlns="http://schemas.openxmlformats.org/officeDocument/2006/custom-properties" xmlns:vt="http://schemas.openxmlformats.org/officeDocument/2006/docPropsVTypes"/>
</file>