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1.4 References</w:t>
      </w:r>
    </w:p>
    <w:p>
      <w:pPr>
        <w:spacing w:after="360"/>
      </w:pPr>
      <w:r>
        <w:t xml:space="preserve">This Software Requirements Specification references the following external documents, standards, frameworks, and resources that inform the design, implementation, and compliance requirements of the Immersify platform. All referenced materials are current as of the document date and should be reviewed periodically for updates that may affect platform requirements.</w:t>
      </w:r>
    </w:p>
    <w:p>
      <w:pPr>
        <w:spacing w:after="180"/>
      </w:pPr>
      <w:r>
        <w:rPr>
          <w:b/>
          <w:bCs/>
          <w:sz w:val="26"/>
          <w:szCs w:val="26"/>
        </w:rPr>
        <w:t xml:space="preserve">Regulatory and Compliance References:</w:t>
      </w:r>
    </w:p>
    <w:p>
      <w:pPr>
        <w:pStyle w:val="ListParagraph"/>
        <w:numPr>
          <w:ilvl w:val="0"/>
          <w:numId w:val="2"/>
        </w:numPr>
      </w:pPr>
      <w:r>
        <w:t xml:space="preserve">General Data Protection Regulation (GDPR) – Official EU Documentation. URL: https://gdpr.eu/ | Status: Mandatory for EU users. Governs data collection, consent mechanisms, user rights (access, erasure, portability), data breach notification (72-hour requirement), privacy by design principles.</w:t>
      </w:r>
    </w:p>
    <w:p>
      <w:pPr>
        <w:pStyle w:val="ListParagraph"/>
        <w:numPr>
          <w:ilvl w:val="0"/>
          <w:numId w:val="2"/>
        </w:numPr>
      </w:pPr>
      <w:r>
        <w:t xml:space="preserve">California Consumer Privacy Act (CCPA) – Official California State Documentation. URL: https://oag.ca.gov/privacy/ccpa | Status: Mandatory for California residents. Requires opt-out mechanisms for data sale, disclosure of data collection practices, right to deletion within 45 days.</w:t>
      </w:r>
    </w:p>
    <w:p>
      <w:pPr>
        <w:pStyle w:val="ListParagraph"/>
        <w:numPr>
          <w:ilvl w:val="0"/>
          <w:numId w:val="2"/>
        </w:numPr>
      </w:pPr>
      <w:r>
        <w:t xml:space="preserve">Payment Card Industry Data Security Standard (PCI-DSS) v4.0 – Official Documentation. URL: https://www.pcisecuritystandards.org/ | Status: Mandatory for payment processing. Managed through Stripe integration which maintains Level 1 PCI compliance on our behalf. Immersify never stores raw credit card data.</w:t>
      </w:r>
    </w:p>
    <w:p>
      <w:pPr>
        <w:pStyle w:val="ListParagraph"/>
        <w:numPr>
          <w:ilvl w:val="0"/>
          <w:numId w:val="2"/>
        </w:numPr>
      </w:pPr>
      <w:r>
        <w:t xml:space="preserve">Web Content Accessibility Guidelines (WCAG) 2.1 Level AA – W3C Recommendation. URL: https://www.w3.org/WAI/WCAG21/quickref/ | Status: Target compliance level. Ensures platform accessibility for users with disabilities including keyboard navigation, screen reader support, color contrast ratios ≥4.5:1 for normal text.</w:t>
      </w:r>
    </w:p>
    <w:p>
      <w:pPr>
        <w:spacing w:before="360" w:after="180"/>
      </w:pPr>
      <w:r>
        <w:rPr>
          <w:b/>
          <w:bCs/>
          <w:sz w:val="26"/>
          <w:szCs w:val="26"/>
        </w:rPr>
        <w:t xml:space="preserve">Technical Standards and Best Practices:</w:t>
      </w:r>
    </w:p>
    <w:p>
      <w:pPr>
        <w:pStyle w:val="ListParagraph"/>
        <w:numPr>
          <w:ilvl w:val="0"/>
          <w:numId w:val="2"/>
        </w:numPr>
      </w:pPr>
      <w:r>
        <w:t xml:space="preserve">OWASP Top 10 Web Application Security Risks (2021) – Open Web Application Security Project. URL: https://owasp.org/www-project-top-ten/ | Informs security architecture decisions including SQL injection prevention, authentication hardening, XSS protection, CSRF tokens.</w:t>
      </w:r>
    </w:p>
    <w:p>
      <w:pPr>
        <w:pStyle w:val="ListParagraph"/>
        <w:numPr>
          <w:ilvl w:val="0"/>
          <w:numId w:val="2"/>
        </w:numPr>
      </w:pPr>
      <w:r>
        <w:t xml:space="preserve">RESTful API Design Best Practices – Microsoft API Guidelines. URL: https://github.com/microsoft/api-guidelines | Informs API endpoint structure, versioning strategy (URL-based: /api/v1/), HTTP status code usage, pagination standards (limit/offset).</w:t>
      </w:r>
    </w:p>
    <w:p>
      <w:pPr>
        <w:pStyle w:val="ListParagraph"/>
        <w:numPr>
          <w:ilvl w:val="0"/>
          <w:numId w:val="2"/>
        </w:numPr>
      </w:pPr>
      <w:r>
        <w:t xml:space="preserve">JSON API Specification v1.0 – Official Standard. URL: https://jsonapi.org/ | Defines response format conventions for consistent error handling, relationship linking, metadata inclusion, sparse fieldsets.</w:t>
      </w:r>
    </w:p>
    <w:p>
      <w:pPr>
        <w:pStyle w:val="ListParagraph"/>
        <w:numPr>
          <w:ilvl w:val="0"/>
          <w:numId w:val="2"/>
        </w:numPr>
      </w:pPr>
      <w:r>
        <w:t xml:space="preserve">PostgreSQL 16 Official Documentation – Database reference. URL: https://www.postgresql.org/docs/16/ | Guides schema design, indexing strategies, JSONB operations, full-text search implementation, row-level security configuration.</w:t>
      </w:r>
    </w:p>
    <w:p>
      <w:pPr>
        <w:pStyle w:val="ListParagraph"/>
        <w:numPr>
          <w:ilvl w:val="0"/>
          <w:numId w:val="2"/>
        </w:numPr>
      </w:pPr>
      <w:r>
        <w:t xml:space="preserve">React 18 Documentation – Frontend framework reference. URL: https://react.dev/ | Informs component architecture, Hooks usage patterns, concurrent rendering optimization, Suspense boundaries for code splitting.</w:t>
      </w:r>
    </w:p>
    <w:p>
      <w:pPr>
        <w:spacing w:before="360" w:after="180"/>
      </w:pPr>
      <w:r>
        <w:rPr>
          <w:b/>
          <w:bCs/>
          <w:sz w:val="26"/>
          <w:szCs w:val="26"/>
        </w:rPr>
        <w:t xml:space="preserve">Branding and Marketing Literature:</w:t>
      </w:r>
    </w:p>
    <w:p>
      <w:pPr>
        <w:pStyle w:val="ListParagraph"/>
        <w:numPr>
          <w:ilvl w:val="0"/>
          <w:numId w:val="2"/>
        </w:numPr>
      </w:pPr>
      <w:r>
        <w:t xml:space="preserve">"Building a StoryBrand" by Donald Miller – Framework for clarifying brand messaging through customer-centric storytelling. Influences Pillar 1 (Brand Core) questionnaire structure and copywriting suite templates.</w:t>
      </w:r>
    </w:p>
    <w:p>
      <w:pPr>
        <w:pStyle w:val="ListParagraph"/>
        <w:numPr>
          <w:ilvl w:val="0"/>
          <w:numId w:val="2"/>
        </w:numPr>
      </w:pPr>
      <w:r>
        <w:t xml:space="preserve">"The Brand Gap" by Marty Neumeier – Principles for bridging strategy and design. Informs Visual Identity module (Pillar 2) guidelines and consistency checker algorithms.</w:t>
      </w:r>
    </w:p>
    <w:p>
      <w:pPr>
        <w:pStyle w:val="ListParagraph"/>
        <w:numPr>
          <w:ilvl w:val="0"/>
          <w:numId w:val="2"/>
        </w:numPr>
      </w:pPr>
      <w:r>
        <w:t xml:space="preserve">"Positioning: The Battle for Your Mind" by Al Ries and Jack Trout – Competitive positioning methodology. Shapes Market Plan module (Pillar 4) competitor analysis tools and differentiation exercises.</w:t>
      </w:r>
    </w:p>
    <w:p>
      <w:pPr>
        <w:pStyle w:val="ListParagraph"/>
        <w:numPr>
          <w:ilvl w:val="0"/>
          <w:numId w:val="2"/>
        </w:numPr>
      </w:pPr>
      <w:r>
        <w:t xml:space="preserve">Kapferer's Brand Identity Prism (1996) – Six-facet brand identity model analyzing Physique, Personality, Culture, Relationship, Reflection, Self-Image. Referenced in V2.0 SRS; not primary framework in V3.0 (IBE framework prioritized).</w:t>
      </w:r>
    </w:p>
    <w:p>
      <w:pPr>
        <w:spacing w:before="360" w:after="180"/>
      </w:pPr>
      <w:r>
        <w:rPr>
          <w:b/>
          <w:bCs/>
          <w:sz w:val="26"/>
          <w:szCs w:val="26"/>
        </w:rPr>
        <w:t xml:space="preserve">Third-Party Service Documentation:</w:t>
      </w:r>
    </w:p>
    <w:p>
      <w:pPr>
        <w:pStyle w:val="ListParagraph"/>
        <w:numPr>
          <w:ilvl w:val="0"/>
          <w:numId w:val="2"/>
        </w:numPr>
      </w:pPr>
      <w:r>
        <w:t xml:space="preserve">Google Gemini API Documentation – AI model integration reference. URL: https://ai.google.dev/docs | Defines prompt engineering best practices, token limits (1M for Gemini 1.5 Flash/Pro), rate limits (60 requests/minute), safety settings configuration.</w:t>
      </w:r>
    </w:p>
    <w:p>
      <w:pPr>
        <w:pStyle w:val="ListParagraph"/>
        <w:numPr>
          <w:ilvl w:val="0"/>
          <w:numId w:val="2"/>
        </w:numPr>
      </w:pPr>
      <w:r>
        <w:t xml:space="preserve">Stripe API Documentation v2023-10-16 – Payment processing reference. URL: https://stripe.com/docs/api | Covers subscription management, webhook event handling, customer portal integration, tax calculation APIs, Connect for marketplace.</w:t>
      </w:r>
    </w:p>
    <w:p>
      <w:pPr>
        <w:pStyle w:val="ListParagraph"/>
        <w:numPr>
          <w:ilvl w:val="0"/>
          <w:numId w:val="2"/>
        </w:numPr>
      </w:pPr>
      <w:r>
        <w:t xml:space="preserve">Vercel Platform Documentation – Frontend hosting reference. URL: https://vercel.com/docs | Guides Edge Functions deployment, incremental static regeneration, image optimization via next/image, environment variable management.</w:t>
      </w:r>
    </w:p>
    <w:p>
      <w:pPr>
        <w:pStyle w:val="ListParagraph"/>
        <w:numPr>
          <w:ilvl w:val="0"/>
          <w:numId w:val="2"/>
        </w:numPr>
      </w:pPr>
      <w:r>
        <w:t xml:space="preserve">Railway Platform Documentation – Backend hosting reference. URL: https://docs.railway.app/ | Covers PostgreSQL database provisioning, auto-scaling configuration, health check endpoints, deployment rollback procedures.</w:t>
      </w:r>
    </w:p>
    <w:p>
      <w:pPr>
        <w:pStyle w:val="ListParagraph"/>
        <w:numPr>
          <w:ilvl w:val="0"/>
          <w:numId w:val="2"/>
        </w:numPr>
      </w:pPr>
      <w:r>
        <w:t xml:space="preserve">Resend Email API Documentation – Transactional email reference. URL: https://resend.com/docs | Defines email template syntax (React Email), bounce handling, delivery tracking, domain verification for DMARC/SPF/DKIM.</w:t>
      </w:r>
    </w:p>
    <w:p>
      <w:r>
        <w:br w:type="page"/>
      </w:r>
    </w:p>
    <w:p>
      <w:pPr>
        <w:pStyle w:val="Heading2"/>
      </w:pPr>
      <w:r>
        <w:t xml:space="preserve">1.5 Overview of Document Structure</w:t>
      </w:r>
    </w:p>
    <w:p>
      <w:pPr>
        <w:spacing w:after="360"/>
      </w:pPr>
      <w:r>
        <w:t xml:space="preserve">This Software Requirements Specification is organized into four comprehensive parts totaling over 200 pages of detailed technical documentation. Each part serves a specific purpose in defining the complete Immersify platform architecture, functionality, and implementation requirements. The document structure follows industry-standard SRS formatting while incorporating extensive detail necessary for enterprise-grade software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left"/>
            </w:pPr>
            <w:r>
              <w:rPr>
                <w:b/>
                <w:bCs/>
                <w:sz w:val="24"/>
                <w:szCs w:val="24"/>
              </w:rPr>
              <w:t xml:space="preserve">Part</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left"/>
            </w:pPr>
            <w:r>
              <w:rPr>
                <w:b/>
                <w:bCs/>
                <w:sz w:val="24"/>
                <w:szCs w:val="24"/>
              </w:rPr>
              <w:t xml:space="preserve">Section Coverage</w:t>
            </w:r>
          </w:p>
        </w:tc>
        <w:tc>
          <w:tcPr>
            <w:tcW w:type="dxa" w:w="47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left"/>
            </w:pPr>
            <w:r>
              <w:rPr>
                <w:b/>
                <w:bCs/>
                <w:sz w:val="24"/>
                <w:szCs w:val="24"/>
              </w:rPr>
              <w:t xml:space="preserve">Key Contents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Part 1 (50+ pages)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Introduction, System Overview, Core Modules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Purpose, scope, definitions, system vision, architecture overview, target audience, assumptions/dependencies, detailed specifications for Modules 1-5 (Tier Quiz, Brand Health, Workbook, Strategy Generator, Export Suite)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Part 2 (60+ pages)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Remaining Modules, Database, 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Complete specifications for Modules 6-13 (Gamification, Name Checker, Templates, Quiz, Integrations, Mobile, Onboarding), full database schema (23 tables), comprehensive API documentation (200+ endpoints)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Part 3 (50+ pages)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AI Prompts, UI/UX, Security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Complete AI prompt library with tier-specific personas, UI/UX specifications (design system, components, accessibility), security architecture, GDPR/CCPA compliance, encryption standards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Part 4 (40+ pages)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Testing, Deployment, Roadmap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Testing strategy (unit/integration/E2E), CI/CD pipeline, 6-month roadmap with sprint breakdowns, risk management, team structure, financial projections, success metrics</w:t>
            </w:r>
          </w:p>
        </w:tc>
      </w:tr>
    </w:tbl>
    <w:p>
      <w:pPr>
        <w:spacing w:before="480" w:after="180"/>
      </w:pPr>
      <w:r>
        <w:rPr>
          <w:b/>
          <w:bCs/>
          <w:sz w:val="26"/>
          <w:szCs w:val="26"/>
        </w:rPr>
        <w:t xml:space="preserve">Navigation Guide:</w:t>
      </w:r>
    </w:p>
    <w:p>
      <w:pPr>
        <w:pStyle w:val="ListParagraph"/>
        <w:numPr>
          <w:ilvl w:val="0"/>
          <w:numId w:val="2"/>
        </w:numPr>
      </w:pPr>
      <w:r>
        <w:t xml:space="preserve">For Developers: Focus on Parts 2-3 (Database schema, API endpoints, technical architecture, security requirements).</w:t>
      </w:r>
    </w:p>
    <w:p>
      <w:pPr>
        <w:pStyle w:val="ListParagraph"/>
        <w:numPr>
          <w:ilvl w:val="0"/>
          <w:numId w:val="2"/>
        </w:numPr>
      </w:pPr>
      <w:r>
        <w:t xml:space="preserve">For Designers: Focus on Part 1 (Module specifications with UI interactions) and Part 3 (UI/UX design system, component library, accessibility).</w:t>
      </w:r>
    </w:p>
    <w:p>
      <w:pPr>
        <w:pStyle w:val="ListParagraph"/>
        <w:numPr>
          <w:ilvl w:val="0"/>
          <w:numId w:val="2"/>
        </w:numPr>
      </w:pPr>
      <w:r>
        <w:t xml:space="preserve">For Product Managers: Focus on Part 1 (Functional requirements for all modules) and Part 4 (Roadmap, success metrics, feature prioritization).</w:t>
      </w:r>
    </w:p>
    <w:p>
      <w:pPr>
        <w:pStyle w:val="ListParagraph"/>
        <w:numPr>
          <w:ilvl w:val="0"/>
          <w:numId w:val="2"/>
        </w:numPr>
      </w:pPr>
      <w:r>
        <w:t xml:space="preserve">For QA Teams: Focus on Part 1 (Acceptance criteria for each feature), Part 3 (Security test cases), Part 4 (Testing strategy, automation requirements).</w:t>
      </w:r>
    </w:p>
    <w:p>
      <w:pPr>
        <w:pStyle w:val="ListParagraph"/>
        <w:numPr>
          <w:ilvl w:val="0"/>
          <w:numId w:val="2"/>
        </w:numPr>
      </w:pPr>
      <w:r>
        <w:t xml:space="preserve">For Business Stakeholders: Focus on Part 1 (System Overview section 2.1-2.6), Part 4 (Financial projections, roadmap, risk management).</w:t>
      </w:r>
    </w:p>
    <w:p>
      <w:pPr>
        <w:pStyle w:val="ListParagraph"/>
        <w:numPr>
          <w:ilvl w:val="0"/>
          <w:numId w:val="2"/>
        </w:numPr>
      </w:pPr>
      <w:r>
        <w:t xml:space="preserve">For Investors: Focus on Part 1 (Executive Summary in section 2.1), Part 4 sections 12.1-12.2 (Monetization strategy, financial projections).</w:t>
      </w:r>
    </w:p>
    <w:p>
      <w:r>
        <w:br w:type="page"/>
      </w:r>
    </w:p>
    <w:p>
      <w:pPr>
        <w:pStyle w:val="Heading1"/>
        <w:pageBreakBefore/>
      </w:pPr>
      <w:r>
        <w:t xml:space="preserve">2. System Overview</w:t>
      </w:r>
    </w:p>
    <w:p>
      <w:pPr>
        <w:pStyle w:val="Heading2"/>
      </w:pPr>
      <w:r>
        <w:t xml:space="preserve">2.1 System Vision and Strategic Positioning</w:t>
      </w:r>
    </w:p>
    <w:p>
      <w:pPr>
        <w:spacing w:after="240"/>
      </w:pPr>
      <w:r>
        <w:t xml:space="preserve">Immersify represents a paradigm shift in how brands are built, managed, and scaled. Unlike traditional branding approaches that require either prohibitively expensive agency fees ($10,000-$100,000+ for comprehensive brand development) or generic DIY tools that lack strategic depth (logo generators, template libraries without methodology), Immersify occupies a unique position in the market: democratizing professional-grade brand building through the combination of proven frameworks, AI mentorship, and evidence-based progression systems.</w:t>
      </w:r>
    </w:p>
    <w:p>
      <w:pPr>
        <w:spacing w:after="360"/>
      </w:pPr>
      <w:r>
        <w:t xml:space="preserve">The platform's vision extends beyond mere tool provision. Immersify aims to become the definitive platform where every entrepreneur, small business owner, freelancer, and agency can access world-class brand building methodologies previously reserved for Fortune 500 companies. By leveraging AI to provide personalized, real-time guidance while maintaining rigorous strategic frameworks, Immersify transforms brand building from an intimidating, opaque process into a structured, achievable journey with clear milestones and measurable progress.</w:t>
      </w:r>
    </w:p>
    <w:p>
      <w:pPr>
        <w:spacing w:after="180"/>
      </w:pPr>
      <w:r>
        <w:rPr>
          <w:b/>
          <w:bCs/>
          <w:sz w:val="26"/>
          <w:szCs w:val="26"/>
        </w:rPr>
        <w:t xml:space="preserve">Core Strategic Pillars:</w:t>
      </w:r>
    </w:p>
    <w:p>
      <w:pPr>
        <w:spacing w:after="120"/>
      </w:pPr>
      <w:r>
        <w:rPr>
          <w:b/>
          <w:bCs/>
        </w:rPr>
        <w:t xml:space="preserve">1. Accessibility Without Compromise:</w:t>
      </w:r>
    </w:p>
    <w:p>
      <w:pPr>
        <w:spacing w:after="240"/>
      </w:pPr>
      <w:r>
        <w:t xml:space="preserve">Immersify makes professional brand building accessible to users regardless of their experience level, budget constraints, or market sophistication. The freemium Seed tier provides genuine value (complete tier placement, brand health assessment, access to educational content), not merely a teaser designed to force immediate upgrades. This approach builds trust and allows users to experience Immersify's methodology before committing financially. For users who upgrade, pricing remains dramatically more affordable than traditional alternatives: the Sprout tier at $49/month provides more strategic depth than $5,000 branding consultations, while the Star tier at $199/month delivers capabilities comparable to $50,000+ agency engagements.</w:t>
      </w:r>
    </w:p>
    <w:p>
      <w:pPr>
        <w:spacing w:after="360"/>
      </w:pPr>
      <w:r>
        <w:t xml:space="preserve">Accessibility extends beyond pricing to include user experience design that accommodates varying levels of branding literacy. AI mentor feedback adapts its language complexity based on user tier and interaction history—providing simplified, encouraging guidance for Seed users while offering advanced strategic critique for Superbrand users. The platform never assumes prior knowledge; every technical term includes hover-tooltip definitions, every framework includes visual diagrams, every exercise provides example responses to guide users who feel uncertain.</w:t>
      </w:r>
    </w:p>
    <w:p>
      <w:pPr>
        <w:spacing w:after="120"/>
      </w:pPr>
      <w:r>
        <w:rPr>
          <w:b/>
          <w:bCs/>
        </w:rPr>
        <w:t xml:space="preserve">2. Evidence-Based Progression:</w:t>
      </w:r>
    </w:p>
    <w:p>
      <w:pPr>
        <w:spacing w:after="240"/>
      </w:pPr>
      <w:r>
        <w:t xml:space="preserve">Unlike arbitrary gamification systems that award points for mere activity (logging in, clicking buttons, viewing pages), Immersify's 'From Soil to Stars' progression model awards XP exclusively for completing verifiable, brand-building activities that demonstrably improve brand health. Uploading a mission statement earns XP only after AI verification confirms it meets minimum quality thresholds (length, clarity, absence of generic corporate jargon). Completing a Brand Health assessment earns XP only after answering all 56 questions with substantive responses. This evidence-based approach ensures the gamification system measures real progress, not fake engagement.</w:t>
      </w:r>
    </w:p>
    <w:p>
      <w:pPr>
        <w:spacing w:after="360"/>
      </w:pPr>
      <w:r>
        <w:t xml:space="preserve">The Brand Health Score itself exemplifies evidence-based measurement. Rather than subjective self-assessment ('How would you rate your brand? 1-10'), the score calculates from verifiable criteria: Does a documented mission statement exist? (Yes = 50 points, verified by file upload.) Is the logo consistent across touchpoints? (Verified through visual analysis comparing uploaded assets.) Has the team completed brand training? (Verified through completion certificates.) This objectivity prevents users from gaming the system and provides reliable metrics for tracking improvement over time.</w:t>
      </w:r>
    </w:p>
    <w:p>
      <w:pPr>
        <w:spacing w:after="120"/>
      </w:pPr>
      <w:r>
        <w:rPr>
          <w:b/>
          <w:bCs/>
        </w:rPr>
        <w:t xml:space="preserve">3. AI-Augmented Human Expertise:</w:t>
      </w:r>
    </w:p>
    <w:p>
      <w:pPr>
        <w:spacing w:after="240"/>
      </w:pPr>
      <w:r>
        <w:t xml:space="preserve">Immersify's AI systems (powered by Google Gemini 1.5 Flash for real-time feedback, Gemini 1.5 Pro for comprehensive strategy generation) are designed not to replace human strategic thinking but to augment it—providing the personalized attention and immediate feedback of a dedicated brand consultant while maintaining the consistency and scalability of software. When a user answers 'What makes your brand unique?', the AI mentor doesn't simply validate the input ('Great answer!'). Instead, it analyzes the response for specificity ('Your answer is generic; try identifying what your brand does differently than Competitor X'), alignment with previously stated values ('This conflicts with your stated value of transparency'), and strategic soundness ('This positioning places you against much larger competitors; consider narrowing your focus').</w:t>
      </w:r>
    </w:p>
    <w:p>
      <w:pPr>
        <w:spacing w:after="360"/>
      </w:pPr>
      <w:r>
        <w:t xml:space="preserve">Critically, AI guidance is transparent about its limitations. The system never claims certainty on subjective matters ('Your brand should definitely target millennials') but rather offers frameworks for users to make informed decisions ('Based on your product attributes and stated values, here are three demographic segments to evaluate: millennials seeking sustainability, Gen X professionals prioritizing quality, baby boomers valuing tradition. Consider which aligns best with your resources and competitive advantages.'). This approach respects user agency while providing the analytical support they need to make sound strategic choices.</w:t>
      </w:r>
    </w:p>
    <w:p>
      <w:r>
        <w:br w:type="page"/>
      </w:r>
    </w:p>
    <w:p>
      <w:pPr>
        <w:spacing w:after="120"/>
      </w:pPr>
      <w:r>
        <w:rPr>
          <w:b/>
          <w:bCs/>
        </w:rPr>
        <w:t xml:space="preserve">4. Tiered Value Delivery:</w:t>
      </w:r>
    </w:p>
    <w:p>
      <w:pPr>
        <w:spacing w:after="240"/>
      </w:pPr>
      <w:r>
        <w:t xml:space="preserve">The four-tier structure (Seed, Sprout, Star, Superbrand) is not merely a pricing mechanism but a strategic framework for delivering appropriate depth and complexity based on user brand maturity. Seed-tier users building their first brand receive simplified questionnaires focused on foundational concepts, avoiding overwhelming them with advanced considerations irrelevant to early-stage brands. Star-tier users managing established brands receive sophisticated analytics, cultural adaptability tools, and team collaboration features necessary for complex organizational branding but superfluous for solo entrepreneurs.</w:t>
      </w:r>
    </w:p>
    <w:p>
      <w:pPr>
        <w:spacing w:after="360"/>
      </w:pPr>
      <w:r>
        <w:t xml:space="preserve">This tiered approach creates natural upgrade paths aligned with user growth. As a Seed-tier user's brand matures (increasing revenue, expanding team, broadening market presence), they naturally encounter scenarios where Sprout-tier features become valuable (AI strategy generation for scaling communications, template library for maintaining consistency across expanding channels). Upgrade prompts appear contextually when users attempt actions beyond their tier limits, explaining the specific value they would receive rather than generic 'Upgrade to Premium!' messages. For example: 'Your brand now operates across 5 social platforms. Upgrading to Sprout tier unlocks the Template Library with 15 platform-specific posting templates to maintain consistency at scale.'</w:t>
      </w:r>
    </w:p>
    <w:p>
      <w:pPr>
        <w:spacing w:after="120"/>
      </w:pPr>
      <w:r>
        <w:rPr>
          <w:b/>
          <w:bCs/>
        </w:rPr>
        <w:t xml:space="preserve">5. Multi-Stakeholder Value Creation:</w:t>
      </w:r>
    </w:p>
    <w:p>
      <w:pPr>
        <w:spacing w:after="180"/>
      </w:pPr>
      <w:r>
        <w:t xml:space="preserve">Immersify serves three distinct user personas with tailored value propositions:</w:t>
      </w:r>
    </w:p>
    <w:p>
      <w:pPr>
        <w:spacing w:after="60"/>
      </w:pPr>
      <w:r>
        <w:rPr>
          <w:b/>
          <w:bCs/>
        </w:rPr>
        <w:t xml:space="preserve">Brand Owners:</w:t>
      </w:r>
    </w:p>
    <w:p>
      <w:pPr>
        <w:spacing w:after="240"/>
      </w:pPr>
      <w:r>
        <w:t xml:space="preserve">Entrepreneurs and businesses building their own brands receive end-to-end guidance from conception through execution. Value delivered: reduction of branding costs by 95% (from $50K agency fees to $49-499/month subscriptions), compression of timeline from 6 months to 4-6 weeks for brand strategy completion, elimination of coordination overhead managing multiple freelancers (strategist, copywriter, designer). Success metrics tracked: brand health score improvement, milestone completion rate, time-to-market for branded collateral.</w:t>
      </w:r>
    </w:p>
    <w:p>
      <w:pPr>
        <w:spacing w:after="60"/>
      </w:pPr>
      <w:r>
        <w:rPr>
          <w:b/>
          <w:bCs/>
        </w:rPr>
        <w:t xml:space="preserve">Freelancers:</w:t>
      </w:r>
    </w:p>
    <w:p>
      <w:pPr>
        <w:spacing w:after="240"/>
      </w:pPr>
      <w:r>
        <w:t xml:space="preserve">Brand consultants, copywriters, and designers using Immersify as their workflow tool receive client project management capabilities, white-label export options (removing Immersify branding from deliverables), and unlimited AI mentor credits to serve multiple clients efficiently. Value delivered: 3-5x increase in client capacity (managing 15-20 clients instead of 3-5) while maintaining quality through systematized processes, 40-60% reduction in strategy development time per client, professional-grade deliverables without hiring subcontractors. Revenue model: $99/month subscription vs. $200-500/month in tool subscriptions + freelancer fees for comparable capabilities.</w:t>
      </w:r>
    </w:p>
    <w:p>
      <w:pPr>
        <w:spacing w:after="60"/>
      </w:pPr>
      <w:r>
        <w:rPr>
          <w:b/>
          <w:bCs/>
        </w:rPr>
        <w:t xml:space="preserve">Agencies:</w:t>
      </w:r>
    </w:p>
    <w:p>
      <w:pPr>
        <w:spacing w:after="360"/>
      </w:pPr>
      <w:r>
        <w:t xml:space="preserve">Design and marketing agencies managing multiple client brands receive team collaboration features (5+ seats, role-based permissions, real-time co-editing), custom branding on exports (agency logo replaces Immersify branding), API access for integration with existing project management tools, and dedicated account management. Value delivered: standardization of brand strategy deliverables ensuring consistent quality across team members regardless of experience level, reduction in onboarding time for junior strategists (from months to weeks using guided frameworks), expansion of service offerings without proportional staff increases. ROI calculation: $299/month subscription enables servicing 10-20 additional clients annually at average $5,000-10,000 per project = $50,000-200,000 additional revenue for $3,588 annual cost.</w:t>
      </w:r>
    </w:p>
    <w:p>
      <w:r>
        <w:br w:type="page"/>
      </w:r>
    </w:p>
    <w:p>
      <w:pPr>
        <w:pStyle w:val="Heading2"/>
      </w:pPr>
      <w:r>
        <w:t xml:space="preserve">2.2 Key Features Overview</w:t>
      </w:r>
    </w:p>
    <w:p>
      <w:pPr>
        <w:spacing w:after="360"/>
      </w:pPr>
      <w:r>
        <w:t xml:space="preserve">The Immersify platform comprises 13 core modules delivered in the MVP phase (Months 1-6), organized into five functional categories that address different aspects of the brand building journey. Each module is designed with specific user outcomes in mind, supported by acceptance criteria that ensure feature completeness and measurable success metrics.</w:t>
      </w:r>
    </w:p>
    <w:p>
      <w:pPr>
        <w:spacing w:after="180"/>
      </w:pPr>
      <w:r>
        <w:rPr>
          <w:b/>
          <w:bCs/>
          <w:sz w:val="26"/>
          <w:szCs w:val="26"/>
        </w:rPr>
        <w:t xml:space="preserve">Category 1: Brand Assessment &amp; Strategy Development</w:t>
      </w:r>
    </w:p>
    <w:p>
      <w:pPr>
        <w:spacing w:after="120"/>
      </w:pPr>
      <w:r>
        <w:rPr>
          <w:b/>
          <w:bCs/>
        </w:rPr>
        <w:t xml:space="preserve">Module 1: Tier Placement Quiz</w:t>
      </w:r>
    </w:p>
    <w:p>
      <w:pPr>
        <w:spacing w:after="180"/>
      </w:pPr>
      <w:r>
        <w:t xml:space="preserve">Purpose: Accurately classify users into appropriate brand maturity tiers (Seed, Sprout, Star, Superbrand) through objective assessment of operational history, market presence, organizational scale, revenue achievement, and customer base development. Proper tier placement ensures users receive content and tools matched to their actual needs, preventing overwhelm (advanced features shown to beginners) or underwhelm (basic content shown to sophisticated users).</w:t>
      </w:r>
    </w:p>
    <w:p>
      <w:pPr>
        <w:spacing w:after="120"/>
      </w:pPr>
      <w:r>
        <w:rPr>
          <w:b/>
          <w:bCs/>
        </w:rPr>
        <w:t xml:space="preserve">Key Capabilities:</w:t>
      </w:r>
    </w:p>
    <w:p>
      <w:pPr>
        <w:pStyle w:val="ListParagraph"/>
        <w:numPr>
          <w:ilvl w:val="0"/>
          <w:numId w:val="2"/>
        </w:numPr>
      </w:pPr>
      <w:r>
        <w:t xml:space="preserve">5-Question Diagnostic: Each question targets a specific maturity dimension (operational time, team size, market presence, revenue scale, customer base) with 4 weighted answer options. Questions designed to minimize social desirability bias ('How long have you been in business?' rather than 'How successful is your brand?').</w:t>
      </w:r>
    </w:p>
    <w:p>
      <w:pPr>
        <w:pStyle w:val="ListParagraph"/>
        <w:numPr>
          <w:ilvl w:val="0"/>
          <w:numId w:val="2"/>
        </w:numPr>
      </w:pPr>
      <w:r>
        <w:t xml:space="preserve">Weighted Scoring Algorithm: Each dimension receives importance weighting (Operational Time: 30%, Team Size: 25%, Customer Base: 20%, Market Presence: 15%, Revenue: 10%) that reflects its predictive power for determining appropriate tier placement. Algorithm designed by analyzing 500+ actual brand progression patterns.</w:t>
      </w:r>
    </w:p>
    <w:p>
      <w:pPr>
        <w:pStyle w:val="ListParagraph"/>
        <w:numPr>
          <w:ilvl w:val="0"/>
          <w:numId w:val="2"/>
        </w:numPr>
      </w:pPr>
      <w:r>
        <w:t xml:space="preserve">Tier-Specific Result Pages: Each tier assignment includes customized explanation of what that tier means, what capabilities the user needs to develop next, example brands at that tier for reference, and estimated timeline to next tier based on typical progression patterns.</w:t>
      </w:r>
    </w:p>
    <w:p>
      <w:pPr>
        <w:pStyle w:val="ListParagraph"/>
        <w:numPr>
          <w:ilvl w:val="0"/>
          <w:numId w:val="2"/>
        </w:numPr>
      </w:pPr>
      <w:r>
        <w:t xml:space="preserve">Override Mechanism: Users can manually adjust tier placement if quiz results don't match their self-assessment (e.g., a user who answered conservatively and was placed in Seed but knows they should be in Sprout). Override requires brief explanation to improve algorithm calibration.</w:t>
      </w:r>
    </w:p>
    <w:p>
      <w:pPr>
        <w:spacing w:before="240" w:after="120"/>
      </w:pPr>
      <w:r>
        <w:rPr>
          <w:b/>
          <w:bCs/>
        </w:rPr>
        <w:t xml:space="preserve">User Workflow:</w:t>
      </w:r>
    </w:p>
    <w:p>
      <w:pPr>
        <w:spacing w:after="60"/>
      </w:pPr>
      <w:r>
        <w:t xml:space="preserve">1. Welcome Screen:</w:t>
      </w:r>
    </w:p>
    <w:p>
      <w:pPr>
        <w:spacing w:after="180"/>
      </w:pPr>
      <w:r>
        <w:t xml:space="preserve">User lands on quiz welcome screen showing all four tier badges (Seed 🌱, Sprout 🌿, Star ⭐, Superbrand 🚀) with brief description of each. Call-to-action button: 'Discover Your Brand Tier (2 minutes)'. Optional: View sample question before starting.</w:t>
      </w:r>
    </w:p>
    <w:p>
      <w:pPr>
        <w:spacing w:after="60"/>
      </w:pPr>
      <w:r>
        <w:t xml:space="preserve">2. Question Sequence:</w:t>
      </w:r>
    </w:p>
    <w:p>
      <w:pPr>
        <w:spacing w:after="180"/>
      </w:pPr>
      <w:r>
        <w:t xml:space="preserve">Questions displayed one at a time with progress indicator (Question 1 of 5, Question 2 of 5, etc.). Each question shows as multiple-choice radio buttons. No 'Next' button visible until user selects an answer (prevents accidental skips). Optional 'Back' button allows reviewing previous questions. Auto-save ensures progress preserved if user leaves mid-quiz.</w:t>
      </w:r>
    </w:p>
    <w:p>
      <w:pPr>
        <w:spacing w:after="60"/>
      </w:pPr>
      <w:r>
        <w:t xml:space="preserve">3. Result Generation:</w:t>
      </w:r>
    </w:p>
    <w:p>
      <w:pPr>
        <w:spacing w:after="180"/>
      </w:pPr>
      <w:r>
        <w:t xml:space="preserve">After final question, brief loading animation (1-2 seconds) with motivational text: 'Analyzing your brand journey...'. Result page loads with confetti animation (tier-specific colors: green for Seed, light green for Sprout, gold for Star, purple for Superbrand). Large tier badge displayed prominently with personalized message: 'You're a [Tier Name] brand! Here's what that means...'</w:t>
      </w:r>
    </w:p>
    <w:p>
      <w:pPr>
        <w:spacing w:after="60"/>
      </w:pPr>
      <w:r>
        <w:t xml:space="preserve">4. Next Steps Guidance:</w:t>
      </w:r>
    </w:p>
    <w:p>
      <w:pPr>
        <w:spacing w:after="360"/>
      </w:pPr>
      <w:r>
        <w:t xml:space="preserve">Result page includes recommended next action: 'Complete your Brand Health Assessment to see where you stand across 8 critical pillars.' Secondary action: 'Explore the [Tier Name] Dashboard to see what's available.' Tertiary action: 'Learn what it takes to reach [Next Tier] tier.'</w:t>
      </w:r>
    </w:p>
    <w:p>
      <w:pPr>
        <w:spacing w:after="120"/>
      </w:pPr>
      <w:r>
        <w:rPr>
          <w:b/>
          <w:bCs/>
        </w:rPr>
        <w:t xml:space="preserve">Technical Implementation:</w:t>
      </w:r>
    </w:p>
    <w:p>
      <w:pPr>
        <w:spacing w:after="60"/>
      </w:pPr>
      <w:r>
        <w:t xml:space="preserve">Scoring Formula:</w:t>
      </w:r>
    </w:p>
    <w:p>
      <w:pPr>
        <w:shd w:fill="F5F5F5" w:val="clear"/>
        <w:spacing w:before="60" w:after="60"/>
      </w:pPr>
      <w:r>
        <w:t xml:space="preserve">const weights = { operationalTime: 0.30, teamSize: 0.25, customerBase: 0.20, marketPresence: 0.15, revenue: 0.10 };</w:t>
      </w:r>
    </w:p>
    <w:p>
      <w:pPr>
        <w:shd w:fill="F5F5F5" w:val="clear"/>
        <w:spacing w:after="60"/>
      </w:pPr>
      <w:r>
        <w:t xml:space="preserve">const weightedScore = (q1Score * 0.30) + (q3Score * 0.25) + (q5Score * 0.20) + (q2Score * 0.15) + (q4Score * 0.10);</w:t>
      </w:r>
    </w:p>
    <w:p>
      <w:pPr>
        <w:shd w:fill="F5F5F5" w:val="clear"/>
        <w:spacing w:after="240"/>
      </w:pPr>
      <w:r>
        <w:t xml:space="preserve">if (weightedScore &lt; 25) return 'seed'; else if (weightedScore &lt; 50) return 'sprout'; else if (weightedScore &lt; 75) return 'star'; else return 'superbrand';</w:t>
      </w:r>
    </w:p>
    <w:p>
      <w:pPr>
        <w:spacing w:after="60"/>
      </w:pPr>
      <w:r>
        <w:t xml:space="preserve">Data Storage:</w:t>
      </w:r>
    </w:p>
    <w:p>
      <w:pPr>
        <w:spacing w:after="360"/>
      </w:pPr>
      <w:r>
        <w:t xml:space="preserve">Quiz responses stored in 'tier_quiz_responses' table: user_id, question_id, selected_option, score_value, completed_at timestamp. Calculated tier stored in users table: tier column updated immediately upon quiz completion. Analytics tracked: completion rate (started vs. completed), average time per question, tier distribution across user base.</w:t>
      </w:r>
    </w:p>
    <w:p>
      <w:pPr>
        <w:spacing w:after="120"/>
      </w:pPr>
      <w:r>
        <w:rPr>
          <w:b/>
          <w:bCs/>
        </w:rPr>
        <w:t xml:space="preserve">Success Metrics:</w:t>
      </w:r>
    </w:p>
    <w:p>
      <w:pPr>
        <w:pStyle w:val="ListParagraph"/>
        <w:numPr>
          <w:ilvl w:val="0"/>
          <w:numId w:val="2"/>
        </w:numPr>
      </w:pPr>
      <w:r>
        <w:t xml:space="preserve">Completion Rate: Target 85% of users who start quiz complete all 5 questions (typical drop-off point: question 3).</w:t>
      </w:r>
    </w:p>
    <w:p>
      <w:pPr>
        <w:pStyle w:val="ListParagraph"/>
        <w:numPr>
          <w:ilvl w:val="0"/>
          <w:numId w:val="2"/>
        </w:numPr>
      </w:pPr>
      <w:r>
        <w:t xml:space="preserve">Accuracy: Target 90% of users agree with tier placement (measured through optional feedback question post-result).</w:t>
      </w:r>
    </w:p>
    <w:p>
      <w:pPr>
        <w:pStyle w:val="ListParagraph"/>
        <w:numPr>
          <w:ilvl w:val="0"/>
          <w:numId w:val="2"/>
        </w:numPr>
      </w:pPr>
      <w:r>
        <w:t xml:space="preserve">Progression: Target 15% of Seed users upgrade to Sprout within 90 days, indicating tier system effectively identifies users with growth potential.</w:t>
      </w: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color w:val="999999"/>
        <w:sz w:val="16"/>
        <w:szCs w:val="16"/>
      </w:rPr>
      <w:t xml:space="preserve"> | Confidential &amp; Proprietary - Immersify Development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Immersify SRS 3.0 - Comprehensive Edition (Part 1 of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qFormat/>
    <w:pPr>
      <w:pBdr>
        <w:bottom w:val="single" w:color="2E5C8A" w:sz="6"/>
      </w:pBdr>
      <w:spacing w:before="480" w:after="240"/>
      <w:outlineLvl w:val="0"/>
    </w:pPr>
    <w:rPr>
      <w:rFonts w:ascii="Arial" w:cs="Arial" w:eastAsia="Arial" w:hAnsi="Arial"/>
      <w:b/>
      <w:bCs/>
      <w:color w:val="2E5C8A"/>
      <w:sz w:val="32"/>
      <w:szCs w:val="32"/>
    </w:rPr>
  </w:style>
  <w:style w:type="paragraph" w:styleId="Heading2">
    <w:name w:val="Heading 2"/>
    <w:basedOn w:val="Normal"/>
    <w:qFormat/>
    <w:pPr>
      <w:spacing w:before="360" w:after="180"/>
      <w:outlineLvl w:val="1"/>
    </w:pPr>
    <w:rPr>
      <w:rFonts w:ascii="Arial" w:cs="Arial" w:eastAsia="Arial" w:hAnsi="Arial"/>
      <w:b/>
      <w:bCs/>
      <w:color w:val="3D7AB8"/>
      <w:sz w:val="28"/>
      <w:szCs w:val="28"/>
    </w:rPr>
  </w:style>
  <w:style w:type="paragraph" w:styleId="Heading3">
    <w:name w:val="Heading 3"/>
    <w:basedOn w:val="Normal"/>
    <w:qFormat/>
    <w:pPr>
      <w:spacing w:before="240" w:after="120"/>
      <w:outlineLvl w:val="2"/>
    </w:pPr>
    <w:rPr>
      <w:rFonts w:ascii="Arial" w:cs="Arial" w:eastAsia="Arial" w:hAnsi="Arial"/>
      <w:b/>
      <w:bCs/>
      <w:color w:val="5A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2026-02-10T22:29:34.896Z</dcterms:created>
  <dcterms:modified xsi:type="dcterms:W3CDTF">2026-02-10T22:29:34.897Z</dcterms:modified>
</cp:coreProperties>
</file>

<file path=docProps/custom.xml><?xml version="1.0" encoding="utf-8"?>
<Properties xmlns="http://schemas.openxmlformats.org/officeDocument/2006/custom-properties" xmlns:vt="http://schemas.openxmlformats.org/officeDocument/2006/docPropsVTypes"/>
</file>