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CEC1" w14:textId="7B126580" w:rsidR="00D91283" w:rsidRPr="00D91283" w:rsidRDefault="00E02E3F" w:rsidP="00D91283">
      <w:r>
        <w:t>M</w:t>
      </w:r>
      <w:r w:rsidR="00D91283" w:rsidRPr="00D91283">
        <w:t>eeting with Dr. Rosenberg: literature direction</w:t>
      </w:r>
    </w:p>
    <w:p w14:paraId="434570A5" w14:textId="77777777" w:rsidR="00D91283" w:rsidRPr="00D91283" w:rsidRDefault="00D91283" w:rsidP="00D91283">
      <w:r w:rsidRPr="00D91283">
        <w:t>Sep 22, 2026 · @Brittany</w:t>
      </w:r>
    </w:p>
    <w:p w14:paraId="59FF3C10" w14:textId="77777777" w:rsidR="00D91283" w:rsidRPr="00D91283" w:rsidRDefault="00D91283" w:rsidP="00D91283">
      <w:r w:rsidRPr="00D91283">
        <w:t>Goal: leave the meeting knowing which literature directions to pursue, how long the background should be, and what to read first.</w:t>
      </w:r>
    </w:p>
    <w:p w14:paraId="2FB01D09" w14:textId="77777777" w:rsidR="00D91283" w:rsidRPr="00D91283" w:rsidRDefault="00D91283" w:rsidP="00D91283">
      <w:r w:rsidRPr="00D91283">
        <w:t>Literature directions suggested so far</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648"/>
        <w:gridCol w:w="1216"/>
        <w:gridCol w:w="3982"/>
        <w:gridCol w:w="2514"/>
      </w:tblGrid>
      <w:tr w:rsidR="00D91283" w:rsidRPr="00D91283" w14:paraId="3B1404E8" w14:textId="77777777" w:rsidTr="52DE14F2">
        <w:trPr>
          <w:tblCellSpacing w:w="15" w:type="dxa"/>
        </w:trPr>
        <w:tc>
          <w:tcPr>
            <w:tcW w:w="1616" w:type="dxa"/>
            <w:vAlign w:val="center"/>
            <w:hideMark/>
          </w:tcPr>
          <w:p w14:paraId="1256B957" w14:textId="77777777" w:rsidR="00D91283" w:rsidRPr="00D91283" w:rsidRDefault="00D91283" w:rsidP="00D91283">
            <w:r w:rsidRPr="00D91283">
              <w:t>Direction</w:t>
            </w:r>
          </w:p>
        </w:tc>
        <w:tc>
          <w:tcPr>
            <w:tcW w:w="1192" w:type="dxa"/>
            <w:vAlign w:val="center"/>
            <w:hideMark/>
          </w:tcPr>
          <w:p w14:paraId="2410F4A1" w14:textId="77777777" w:rsidR="00D91283" w:rsidRPr="00D91283" w:rsidRDefault="00D91283" w:rsidP="00D91283">
            <w:r w:rsidRPr="00D91283">
              <w:t>Suggested by</w:t>
            </w:r>
          </w:p>
        </w:tc>
        <w:tc>
          <w:tcPr>
            <w:tcW w:w="4042" w:type="dxa"/>
            <w:vAlign w:val="center"/>
            <w:hideMark/>
          </w:tcPr>
          <w:p w14:paraId="39859CE8" w14:textId="77777777" w:rsidR="00D91283" w:rsidRPr="00D91283" w:rsidRDefault="00D91283" w:rsidP="00D91283">
            <w:r w:rsidRPr="00D91283">
              <w:t>What it covers</w:t>
            </w:r>
          </w:p>
        </w:tc>
        <w:tc>
          <w:tcPr>
            <w:tcW w:w="2510" w:type="dxa"/>
            <w:vAlign w:val="center"/>
            <w:hideMark/>
          </w:tcPr>
          <w:p w14:paraId="55E130A5" w14:textId="77777777" w:rsidR="00D91283" w:rsidRPr="00D91283" w:rsidRDefault="00D91283" w:rsidP="00D91283">
            <w:r w:rsidRPr="00D91283">
              <w:t>Starting points</w:t>
            </w:r>
          </w:p>
        </w:tc>
      </w:tr>
      <w:tr w:rsidR="00D91283" w:rsidRPr="00D91283" w14:paraId="599840C2" w14:textId="77777777" w:rsidTr="52DE14F2">
        <w:trPr>
          <w:tblCellSpacing w:w="15" w:type="dxa"/>
        </w:trPr>
        <w:tc>
          <w:tcPr>
            <w:tcW w:w="1616" w:type="dxa"/>
            <w:vAlign w:val="center"/>
            <w:hideMark/>
          </w:tcPr>
          <w:p w14:paraId="0A0CFF64" w14:textId="77777777" w:rsidR="00D91283" w:rsidRPr="00D91283" w:rsidRDefault="00D91283" w:rsidP="00D91283">
            <w:r w:rsidRPr="00D91283">
              <w:t>Deep uncertainty (DMDU)</w:t>
            </w:r>
          </w:p>
        </w:tc>
        <w:tc>
          <w:tcPr>
            <w:tcW w:w="1192" w:type="dxa"/>
            <w:vAlign w:val="center"/>
            <w:hideMark/>
          </w:tcPr>
          <w:p w14:paraId="2FAE6144" w14:textId="77777777" w:rsidR="00D91283" w:rsidRPr="00D91283" w:rsidRDefault="00D91283" w:rsidP="00D91283">
            <w:r w:rsidRPr="00D91283">
              <w:t>David (point E)</w:t>
            </w:r>
          </w:p>
        </w:tc>
        <w:tc>
          <w:tcPr>
            <w:tcW w:w="4042" w:type="dxa"/>
            <w:vAlign w:val="center"/>
            <w:hideMark/>
          </w:tcPr>
          <w:p w14:paraId="4FD6418C" w14:textId="77777777" w:rsidR="00D91283" w:rsidRPr="00D91283" w:rsidRDefault="00D91283" w:rsidP="00D91283">
            <w:r w:rsidRPr="00D91283">
              <w:t>What the framework improves on, or what gap it fills that DMDU does not</w:t>
            </w:r>
          </w:p>
        </w:tc>
        <w:tc>
          <w:tcPr>
            <w:tcW w:w="2510" w:type="dxa"/>
            <w:vAlign w:val="center"/>
            <w:hideMark/>
          </w:tcPr>
          <w:p w14:paraId="699D7B83" w14:textId="77777777" w:rsidR="00D91283" w:rsidRPr="00D91283" w:rsidRDefault="00D91283" w:rsidP="00D91283">
            <w:r w:rsidRPr="00D91283">
              <w:t>Leads to check: Lempert et al. 2003; Walker et al. 2003; Marchau et al. 2019; Colorado River DMDU studies</w:t>
            </w:r>
          </w:p>
        </w:tc>
      </w:tr>
      <w:tr w:rsidR="00D91283" w:rsidRPr="00D91283" w14:paraId="1A31E70A" w14:textId="77777777" w:rsidTr="52DE14F2">
        <w:trPr>
          <w:tblCellSpacing w:w="15" w:type="dxa"/>
        </w:trPr>
        <w:tc>
          <w:tcPr>
            <w:tcW w:w="1616" w:type="dxa"/>
            <w:vAlign w:val="center"/>
            <w:hideMark/>
          </w:tcPr>
          <w:p w14:paraId="40F92918" w14:textId="77777777" w:rsidR="00D91283" w:rsidRPr="00D91283" w:rsidRDefault="00D91283" w:rsidP="00D91283">
            <w:r w:rsidRPr="00D91283">
              <w:t>Conceptions of risk</w:t>
            </w:r>
          </w:p>
        </w:tc>
        <w:tc>
          <w:tcPr>
            <w:tcW w:w="1192" w:type="dxa"/>
            <w:vAlign w:val="center"/>
            <w:hideMark/>
          </w:tcPr>
          <w:p w14:paraId="31AA56A9" w14:textId="77777777" w:rsidR="00D91283" w:rsidRPr="00D91283" w:rsidRDefault="00D91283" w:rsidP="00D91283">
            <w:r w:rsidRPr="00D91283">
              <w:t>Erik</w:t>
            </w:r>
          </w:p>
        </w:tc>
        <w:tc>
          <w:tcPr>
            <w:tcW w:w="4042" w:type="dxa"/>
            <w:vAlign w:val="center"/>
            <w:hideMark/>
          </w:tcPr>
          <w:p w14:paraId="6ECB5C2C" w14:textId="77777777" w:rsidR="00D91283" w:rsidRPr="00D91283" w:rsidRDefault="00D91283" w:rsidP="00D91283">
            <w:r w:rsidRPr="00D91283">
              <w:t>Engineering (threat–consequence) vs. integrated hazards (threat–consequence–vulnerability); frameworks from other fields; drought as an accreted risk, like living in a floodplain</w:t>
            </w:r>
          </w:p>
        </w:tc>
        <w:tc>
          <w:tcPr>
            <w:tcW w:w="2510" w:type="dxa"/>
            <w:vAlign w:val="center"/>
            <w:hideMark/>
          </w:tcPr>
          <w:p w14:paraId="0A9BE878" w14:textId="77777777" w:rsidR="00D91283" w:rsidRPr="00D91283" w:rsidRDefault="00D91283" w:rsidP="00D91283">
            <w:r w:rsidRPr="00D91283">
              <w:t>Jay Lund, Susan Cutter, Gilbert White; disaster and risk management journals; Erik's USU Box folder</w:t>
            </w:r>
          </w:p>
        </w:tc>
      </w:tr>
      <w:tr w:rsidR="00D91283" w:rsidRPr="00D91283" w14:paraId="49CEFAB1" w14:textId="77777777" w:rsidTr="52DE14F2">
        <w:trPr>
          <w:tblCellSpacing w:w="15" w:type="dxa"/>
        </w:trPr>
        <w:tc>
          <w:tcPr>
            <w:tcW w:w="1616" w:type="dxa"/>
            <w:vAlign w:val="center"/>
            <w:hideMark/>
          </w:tcPr>
          <w:p w14:paraId="07791AE4" w14:textId="77777777" w:rsidR="00D91283" w:rsidRPr="00D91283" w:rsidRDefault="00D91283" w:rsidP="00D91283">
            <w:r w:rsidRPr="00D91283">
              <w:t>Risk perception and behavior</w:t>
            </w:r>
          </w:p>
        </w:tc>
        <w:tc>
          <w:tcPr>
            <w:tcW w:w="1192" w:type="dxa"/>
            <w:vAlign w:val="center"/>
            <w:hideMark/>
          </w:tcPr>
          <w:p w14:paraId="4C094F68" w14:textId="77777777" w:rsidR="00D91283" w:rsidRPr="00D91283" w:rsidRDefault="00D91283" w:rsidP="00D91283">
            <w:r w:rsidRPr="00D91283">
              <w:t>Michael</w:t>
            </w:r>
          </w:p>
        </w:tc>
        <w:tc>
          <w:tcPr>
            <w:tcW w:w="4042" w:type="dxa"/>
            <w:vAlign w:val="center"/>
            <w:hideMark/>
          </w:tcPr>
          <w:p w14:paraId="1C381390" w14:textId="77777777" w:rsidR="00D91283" w:rsidRPr="00D91283" w:rsidRDefault="00D91283" w:rsidP="00D91283">
            <w:r w:rsidRPr="00D91283">
              <w:t>Why more information alone doesn't change behavior; trust in the messenger</w:t>
            </w:r>
          </w:p>
        </w:tc>
        <w:tc>
          <w:tcPr>
            <w:tcW w:w="2510" w:type="dxa"/>
            <w:vAlign w:val="center"/>
            <w:hideMark/>
          </w:tcPr>
          <w:p w14:paraId="2E53396E" w14:textId="77777777" w:rsidR="00D91283" w:rsidRPr="00D91283" w:rsidRDefault="00D91283" w:rsidP="00D91283">
            <w:r w:rsidRPr="00D91283">
              <w:t>His six papers: Kollmuss &amp; Agyeman 2002; Simis et al. 2016; Gough 1997; Freudenburg 1988; Ferraro et al. 2017; Botzen et al. 2025</w:t>
            </w:r>
          </w:p>
        </w:tc>
      </w:tr>
      <w:tr w:rsidR="00D91283" w:rsidRPr="00D91283" w14:paraId="546B4FE7" w14:textId="77777777" w:rsidTr="52DE14F2">
        <w:trPr>
          <w:tblCellSpacing w:w="15" w:type="dxa"/>
        </w:trPr>
        <w:tc>
          <w:tcPr>
            <w:tcW w:w="1616" w:type="dxa"/>
            <w:vAlign w:val="center"/>
            <w:hideMark/>
          </w:tcPr>
          <w:p w14:paraId="247427F4" w14:textId="77777777" w:rsidR="00D91283" w:rsidRPr="00D91283" w:rsidRDefault="00D91283" w:rsidP="00D91283">
            <w:r w:rsidRPr="00D91283">
              <w:t>Other basins with fixed rights</w:t>
            </w:r>
          </w:p>
        </w:tc>
        <w:tc>
          <w:tcPr>
            <w:tcW w:w="1192" w:type="dxa"/>
            <w:vAlign w:val="center"/>
            <w:hideMark/>
          </w:tcPr>
          <w:p w14:paraId="172D7257" w14:textId="77777777" w:rsidR="00D91283" w:rsidRPr="00D91283" w:rsidRDefault="00D91283" w:rsidP="00D91283">
            <w:r w:rsidRPr="00D91283">
              <w:t>Erik</w:t>
            </w:r>
          </w:p>
        </w:tc>
        <w:tc>
          <w:tcPr>
            <w:tcW w:w="4042" w:type="dxa"/>
            <w:vAlign w:val="center"/>
            <w:hideMark/>
          </w:tcPr>
          <w:p w14:paraId="45883E02" w14:textId="77777777" w:rsidR="00D91283" w:rsidRPr="00D91283" w:rsidRDefault="00D91283" w:rsidP="00D91283">
            <w:r w:rsidRPr="00D91283">
              <w:t>Examples beyond the Colorado River so it doesn't read as an outlier</w:t>
            </w:r>
          </w:p>
        </w:tc>
        <w:tc>
          <w:tcPr>
            <w:tcW w:w="2510" w:type="dxa"/>
            <w:vAlign w:val="center"/>
            <w:hideMark/>
          </w:tcPr>
          <w:p w14:paraId="16BFBABB" w14:textId="77777777" w:rsidR="00D91283" w:rsidRPr="00D91283" w:rsidRDefault="00D91283" w:rsidP="00D91283">
            <w:r w:rsidRPr="00D91283">
              <w:t>None yet; ask for suggestions</w:t>
            </w:r>
          </w:p>
        </w:tc>
      </w:tr>
      <w:tr w:rsidR="00D91283" w:rsidRPr="00D91283" w14:paraId="32678F99" w14:textId="77777777" w:rsidTr="52DE14F2">
        <w:trPr>
          <w:tblCellSpacing w:w="15" w:type="dxa"/>
        </w:trPr>
        <w:tc>
          <w:tcPr>
            <w:tcW w:w="1616" w:type="dxa"/>
            <w:vAlign w:val="center"/>
          </w:tcPr>
          <w:p w14:paraId="33E5450F" w14:textId="3F94F6BB" w:rsidR="00D91283" w:rsidRPr="00D91283" w:rsidRDefault="00D91283" w:rsidP="00D91283"/>
        </w:tc>
        <w:tc>
          <w:tcPr>
            <w:tcW w:w="1192" w:type="dxa"/>
            <w:vAlign w:val="center"/>
          </w:tcPr>
          <w:p w14:paraId="7D9718C0" w14:textId="52FC9961" w:rsidR="00D91283" w:rsidRPr="00D91283" w:rsidRDefault="00D91283" w:rsidP="00D91283"/>
        </w:tc>
        <w:tc>
          <w:tcPr>
            <w:tcW w:w="4042" w:type="dxa"/>
            <w:vAlign w:val="center"/>
          </w:tcPr>
          <w:p w14:paraId="289D88D2" w14:textId="16FF1606" w:rsidR="00D91283" w:rsidRPr="00D91283" w:rsidRDefault="00D91283" w:rsidP="00D91283"/>
        </w:tc>
        <w:tc>
          <w:tcPr>
            <w:tcW w:w="2510" w:type="dxa"/>
            <w:vAlign w:val="center"/>
          </w:tcPr>
          <w:p w14:paraId="3E969890" w14:textId="2CD58940" w:rsidR="00D91283" w:rsidRPr="00D91283" w:rsidRDefault="00D91283" w:rsidP="00D91283"/>
        </w:tc>
      </w:tr>
    </w:tbl>
    <w:p w14:paraId="1325BA56" w14:textId="77777777" w:rsidR="00BF5007" w:rsidRDefault="00BF5007" w:rsidP="00BF5007">
      <w:r>
        <w:br/>
      </w:r>
    </w:p>
    <w:p w14:paraId="6ABF9475" w14:textId="77777777" w:rsidR="00BF5007" w:rsidRDefault="00BF5007">
      <w:r>
        <w:br w:type="page"/>
      </w:r>
    </w:p>
    <w:p w14:paraId="5EEA51F4" w14:textId="296A36A8" w:rsidR="00BF5007" w:rsidRPr="00BF5007" w:rsidRDefault="00BF5007" w:rsidP="00BF5007">
      <w:r w:rsidRPr="00BF5007">
        <w:rPr>
          <w:b/>
          <w:bCs/>
        </w:rPr>
        <w:t>D. What is new about the framework and the language used to describe it?</w:t>
      </w:r>
    </w:p>
    <w:p w14:paraId="5E56D7DA" w14:textId="2FA0968A" w:rsidR="00BF5007" w:rsidRPr="00BF5007" w:rsidRDefault="00BF5007" w:rsidP="00BF5007">
      <w:r w:rsidRPr="00BF5007">
        <w:t>"moving away" is clear, but "possible," "nothing about the hydrology rules it out" and "not unprecedented hydrologically" don't capture what we're moving toward. Those phrases only say what the framework rejects. The answer has two parts:</w:t>
      </w:r>
    </w:p>
    <w:p w14:paraId="44A3BAB5" w14:textId="77777777" w:rsidR="00BF5007" w:rsidRPr="00BF5007" w:rsidRDefault="00BF5007" w:rsidP="00BF5007">
      <w:r w:rsidRPr="00BF5007">
        <w:rPr>
          <w:i/>
          <w:iCs/>
        </w:rPr>
        <w:t>What's new in the framework:</w:t>
      </w:r>
    </w:p>
    <w:p w14:paraId="583E9CE6" w14:textId="77777777" w:rsidR="00BF5007" w:rsidRPr="00BF5007" w:rsidRDefault="00BF5007" w:rsidP="00BF5007">
      <w:pPr>
        <w:numPr>
          <w:ilvl w:val="0"/>
          <w:numId w:val="3"/>
        </w:numPr>
      </w:pPr>
      <w:r w:rsidRPr="00BF5007">
        <w:rPr>
          <w:b/>
          <w:bCs/>
        </w:rPr>
        <w:t>The compound hazard:</w:t>
      </w:r>
      <w:r w:rsidRPr="00BF5007">
        <w:t xml:space="preserve"> flows that are lower, stay low for longer, and swing sharply from year to year. The combination drains storage, and volatility hides the decline.</w:t>
      </w:r>
    </w:p>
    <w:p w14:paraId="75161A03" w14:textId="77777777" w:rsidR="00BF5007" w:rsidRPr="00BF5007" w:rsidRDefault="00BF5007" w:rsidP="00BF5007">
      <w:pPr>
        <w:numPr>
          <w:ilvl w:val="0"/>
          <w:numId w:val="3"/>
        </w:numPr>
      </w:pPr>
      <w:r w:rsidRPr="00BF5007">
        <w:rPr>
          <w:b/>
          <w:bCs/>
        </w:rPr>
        <w:t>Agreement as evidence:</w:t>
      </w:r>
      <w:r w:rsidRPr="00BF5007">
        <w:t xml:space="preserve"> independent methods agree the combination can occur. This replaces likelihood.</w:t>
      </w:r>
    </w:p>
    <w:p w14:paraId="6BF0EBF5" w14:textId="77777777" w:rsidR="00BF5007" w:rsidRPr="00BF5007" w:rsidRDefault="00BF5007" w:rsidP="00BF5007">
      <w:pPr>
        <w:numPr>
          <w:ilvl w:val="0"/>
          <w:numId w:val="3"/>
        </w:numPr>
      </w:pPr>
      <w:r w:rsidRPr="00BF5007">
        <w:rPr>
          <w:b/>
          <w:bCs/>
        </w:rPr>
        <w:t>Consequence as the reason to act:</w:t>
      </w:r>
      <w:r w:rsidRPr="00BF5007">
        <w:t xml:space="preserve"> communicate what the combination leads to (e.g., dead pool) and who bears it first, instead of a percentile.</w:t>
      </w:r>
    </w:p>
    <w:p w14:paraId="14991469" w14:textId="77777777" w:rsidR="00BF5007" w:rsidRPr="00BF5007" w:rsidRDefault="00BF5007" w:rsidP="00BF5007">
      <w:r w:rsidRPr="00BF5007">
        <w:rPr>
          <w:i/>
          <w:iCs/>
        </w:rPr>
        <w:t>What's new in the language:</w:t>
      </w:r>
      <w:r w:rsidRPr="00BF5007">
        <w:t xml:space="preserve"> a positive vocabulary that replaces probabilistic terms, not just "possible." Each term says something specific users can picture: </w:t>
      </w:r>
      <w:r w:rsidRPr="00BF5007">
        <w:rPr>
          <w:b/>
          <w:bCs/>
        </w:rPr>
        <w:t>lower</w:t>
      </w:r>
      <w:r w:rsidRPr="00BF5007">
        <w:t xml:space="preserve">, </w:t>
      </w:r>
      <w:r w:rsidRPr="00BF5007">
        <w:rPr>
          <w:b/>
          <w:bCs/>
        </w:rPr>
        <w:t>longer</w:t>
      </w:r>
      <w:r w:rsidRPr="00BF5007">
        <w:t xml:space="preserve">, </w:t>
      </w:r>
      <w:r w:rsidRPr="00BF5007">
        <w:rPr>
          <w:b/>
          <w:bCs/>
        </w:rPr>
        <w:t>volatile</w:t>
      </w:r>
      <w:r w:rsidRPr="00BF5007">
        <w:t xml:space="preserve">, </w:t>
      </w:r>
      <w:r w:rsidRPr="00BF5007">
        <w:rPr>
          <w:b/>
          <w:bCs/>
        </w:rPr>
        <w:t>agreement</w:t>
      </w:r>
      <w:r w:rsidRPr="00BF5007">
        <w:t xml:space="preserve">, </w:t>
      </w:r>
      <w:r w:rsidRPr="00BF5007">
        <w:rPr>
          <w:b/>
          <w:bCs/>
        </w:rPr>
        <w:t>high consequence</w:t>
      </w:r>
      <w:r w:rsidRPr="00BF5007">
        <w:t xml:space="preserve">, </w:t>
      </w:r>
      <w:r w:rsidRPr="00BF5007">
        <w:rPr>
          <w:b/>
          <w:bCs/>
        </w:rPr>
        <w:t>trusted</w:t>
      </w:r>
      <w:r w:rsidRPr="00BF5007">
        <w:t xml:space="preserve"> (Table 1 in the draft). "Possible" becomes the summary word, backed by these terms.</w:t>
      </w:r>
    </w:p>
    <w:p w14:paraId="4FB0C41B" w14:textId="77777777" w:rsidR="00BF5007" w:rsidRPr="00BF5007" w:rsidRDefault="00BF5007" w:rsidP="00BF5007">
      <w:r w:rsidRPr="00BF5007">
        <w:rPr>
          <w:b/>
          <w:bCs/>
        </w:rPr>
        <w:t>E. How does the framework improve on DMDU, or what gap does it fill?</w:t>
      </w:r>
    </w:p>
    <w:p w14:paraId="3F51F7A9" w14:textId="77777777" w:rsidR="00BF5007" w:rsidRPr="00BF5007" w:rsidRDefault="00BF5007" w:rsidP="00BF5007">
      <w:pPr>
        <w:numPr>
          <w:ilvl w:val="0"/>
          <w:numId w:val="4"/>
        </w:numPr>
      </w:pPr>
      <w:r w:rsidRPr="00BF5007">
        <w:rPr>
          <w:b/>
          <w:bCs/>
        </w:rPr>
        <w:t>Probabilistic risk</w:t>
      </w:r>
      <w:r w:rsidRPr="00BF5007">
        <w:t xml:space="preserve"> assigns odds from the historical record. It fails when the future doesn't resemble the record.</w:t>
      </w:r>
    </w:p>
    <w:p w14:paraId="4696E250" w14:textId="77777777" w:rsidR="00BF5007" w:rsidRPr="00BF5007" w:rsidRDefault="00BF5007" w:rsidP="00BF5007">
      <w:pPr>
        <w:numPr>
          <w:ilvl w:val="0"/>
          <w:numId w:val="4"/>
        </w:numPr>
      </w:pPr>
      <w:r w:rsidRPr="00BF5007">
        <w:rPr>
          <w:b/>
          <w:bCs/>
        </w:rPr>
        <w:t>DMDU</w:t>
      </w:r>
      <w:r w:rsidRPr="00BF5007">
        <w:t xml:space="preserve"> drops the reliance on odds and tests plans across many possible futures. Its audience is analysts and planners, and its question is which plan holds up.</w:t>
      </w:r>
    </w:p>
    <w:p w14:paraId="257501B0" w14:textId="77777777" w:rsidR="00BF5007" w:rsidRPr="00BF5007" w:rsidRDefault="00BF5007" w:rsidP="00BF5007">
      <w:pPr>
        <w:numPr>
          <w:ilvl w:val="0"/>
          <w:numId w:val="4"/>
        </w:numPr>
      </w:pPr>
      <w:r w:rsidRPr="00BF5007">
        <w:rPr>
          <w:b/>
          <w:bCs/>
        </w:rPr>
        <w:t>The new framework</w:t>
      </w:r>
      <w:r w:rsidRPr="00BF5007">
        <w:t xml:space="preserve"> communicates the hazard itself to water users. It describes the compound hazard in terms they can act on, uses agreement across methods as evidence, and connects it to consequences and tools.</w:t>
      </w:r>
    </w:p>
    <w:p w14:paraId="14CE82A0" w14:textId="77777777" w:rsidR="00BF5007" w:rsidRPr="00BF5007" w:rsidRDefault="00BF5007" w:rsidP="00BF5007">
      <w:r w:rsidRPr="00BF5007">
        <w:t>Draft gap: DMDU helps planners choose a plan without knowing the odds; this framework helps users understand a hazard that has never shown up in the record.</w:t>
      </w:r>
    </w:p>
    <w:p w14:paraId="1F247592" w14:textId="77777777" w:rsidR="00BF5007" w:rsidRDefault="00BF5007" w:rsidP="00D91283"/>
    <w:p w14:paraId="002F4B69" w14:textId="67541131" w:rsidR="00D91283" w:rsidRPr="00D91283" w:rsidRDefault="00D91283" w:rsidP="00D91283">
      <w:r w:rsidRPr="00D91283">
        <w:t>Gap statement</w:t>
      </w:r>
    </w:p>
    <w:p w14:paraId="316CA555" w14:textId="642E5E2B" w:rsidR="00D91283" w:rsidRPr="00D91283" w:rsidRDefault="00D91283" w:rsidP="00D91283">
      <w:r w:rsidRPr="00D91283">
        <w:t>D</w:t>
      </w:r>
      <w:r>
        <w:t xml:space="preserve">ecision making under deep uncertainty </w:t>
      </w:r>
      <w:r w:rsidRPr="00D91283">
        <w:t>helps analysts choose strategies when probabilities are unknown, and its central question is which model to trust. It doesn't address how water users perceive a hazard that has never appeared in the record, or whether historical frequency is the right way to describe risk to them at all. This framework fills that gap. It communicates a hazard by its consequences, by how many independent methods agree it can occur, and by how low, long and volatile flows can be, rather than by a percentile.</w:t>
      </w:r>
    </w:p>
    <w:p w14:paraId="300F6B79" w14:textId="77777777" w:rsidR="00D91283" w:rsidRPr="00D91283" w:rsidRDefault="00D91283" w:rsidP="00D91283">
      <w:r w:rsidRPr="00D91283">
        <w:t>Questions</w:t>
      </w:r>
    </w:p>
    <w:p w14:paraId="5A9ACEA8" w14:textId="6D723934" w:rsidR="00D91283" w:rsidRPr="00D91283" w:rsidRDefault="00D91283" w:rsidP="00D91283">
      <w:pPr>
        <w:numPr>
          <w:ilvl w:val="0"/>
          <w:numId w:val="2"/>
        </w:numPr>
      </w:pPr>
      <w:r w:rsidRPr="00D91283">
        <w:t>Direction: Which of these leads the paper, and which only support it? Is f</w:t>
      </w:r>
      <w:r>
        <w:t>our</w:t>
      </w:r>
      <w:r w:rsidRPr="00D91283">
        <w:t xml:space="preserve"> too many for one paper?</w:t>
      </w:r>
    </w:p>
    <w:p w14:paraId="7FF6EABA" w14:textId="62E18ECD" w:rsidR="00D91283" w:rsidRPr="00D91283" w:rsidRDefault="00D91283" w:rsidP="00D91283">
      <w:pPr>
        <w:ind w:left="1440"/>
      </w:pPr>
    </w:p>
    <w:p w14:paraId="3E97F0C2" w14:textId="77777777" w:rsidR="00D91283" w:rsidRPr="00D91283" w:rsidRDefault="00D91283" w:rsidP="00D91283">
      <w:pPr>
        <w:numPr>
          <w:ilvl w:val="0"/>
          <w:numId w:val="2"/>
        </w:numPr>
      </w:pPr>
      <w:r w:rsidRPr="00D91283">
        <w:t>Length: How long should the background be, and is it its own section or part of the introduction? Which journal is the target, and what is its word limit?</w:t>
      </w:r>
    </w:p>
    <w:p w14:paraId="65FC20CF" w14:textId="14F2768B" w:rsidR="00D91283" w:rsidRPr="00D91283" w:rsidRDefault="00D91283" w:rsidP="00D91283">
      <w:pPr>
        <w:ind w:left="1440"/>
      </w:pPr>
    </w:p>
    <w:p w14:paraId="14839957" w14:textId="77777777" w:rsidR="00D91283" w:rsidRPr="00D91283" w:rsidRDefault="00D91283" w:rsidP="00D91283">
      <w:pPr>
        <w:numPr>
          <w:ilvl w:val="0"/>
          <w:numId w:val="2"/>
        </w:numPr>
      </w:pPr>
      <w:r w:rsidRPr="00D91283">
        <w:t>Must-reads: Which DMDU papers, and which Colorado River DMDU studies, should I start with?</w:t>
      </w:r>
    </w:p>
    <w:p w14:paraId="179E66EA" w14:textId="5F2A0A58" w:rsidR="00D91283" w:rsidRPr="00D91283" w:rsidRDefault="00D91283" w:rsidP="00D91283">
      <w:pPr>
        <w:ind w:left="1440"/>
      </w:pPr>
    </w:p>
    <w:p w14:paraId="32DEDD59" w14:textId="77777777" w:rsidR="00D91283" w:rsidRPr="00D91283" w:rsidRDefault="00D91283" w:rsidP="00D91283">
      <w:pPr>
        <w:numPr>
          <w:ilvl w:val="0"/>
          <w:numId w:val="2"/>
        </w:numPr>
      </w:pPr>
      <w:r w:rsidRPr="00D91283">
        <w:t>Conceptions of risk: A paragraph, or its own section as Erik suggested?</w:t>
      </w:r>
    </w:p>
    <w:p w14:paraId="1365A56D" w14:textId="710F897C" w:rsidR="00D91283" w:rsidRPr="00D91283" w:rsidRDefault="00D91283" w:rsidP="00D91283">
      <w:pPr>
        <w:ind w:left="1440"/>
      </w:pPr>
    </w:p>
    <w:p w14:paraId="3D880670" w14:textId="77777777" w:rsidR="00D91283" w:rsidRPr="00D91283" w:rsidRDefault="00D91283" w:rsidP="00D91283">
      <w:pPr>
        <w:numPr>
          <w:ilvl w:val="0"/>
          <w:numId w:val="2"/>
        </w:numPr>
      </w:pPr>
      <w:r w:rsidRPr="00D91283">
        <w:t>What's new: Does the gap statement above match what he meant?</w:t>
      </w:r>
    </w:p>
    <w:p w14:paraId="266BC73D" w14:textId="0BFE18A8" w:rsidR="00D91283" w:rsidRPr="00D91283" w:rsidRDefault="00D91283" w:rsidP="00F43606">
      <w:pPr>
        <w:pStyle w:val="Heading1"/>
        <w:rPr>
          <w:rFonts w:hint="eastAsia"/>
        </w:rPr>
      </w:pPr>
    </w:p>
    <w:p w14:paraId="24F4C02E" w14:textId="21A4C0DC" w:rsidR="000B661F" w:rsidRDefault="00E02E3F" w:rsidP="00D91283">
      <w:r>
        <w:t xml:space="preserve">Research Questions </w:t>
      </w:r>
    </w:p>
    <w:p w14:paraId="127168B7" w14:textId="1237F0E0" w:rsidR="00E02E3F" w:rsidRDefault="00E02E3F" w:rsidP="00D91283">
      <w:r>
        <w:t xml:space="preserve">How do we </w:t>
      </w:r>
      <w:r w:rsidR="00DE0E19">
        <w:t xml:space="preserve">more effectively </w:t>
      </w:r>
      <w:r>
        <w:t>communicate risk</w:t>
      </w:r>
      <w:r w:rsidR="00DE0E19">
        <w:t xml:space="preserve"> of drought and aridity</w:t>
      </w:r>
      <w:r>
        <w:t xml:space="preserve"> in the Colorado River Basin</w:t>
      </w:r>
      <w:r w:rsidR="00DE0E19">
        <w:t>?</w:t>
      </w:r>
    </w:p>
    <w:p w14:paraId="63CA2DFB" w14:textId="1280E09C" w:rsidR="00E02E3F" w:rsidRDefault="00E02E3F" w:rsidP="00E02E3F">
      <w:r>
        <w:t>How did participants approach to risk of drought and aridity in the CRB change and evolve as they worked through the model?</w:t>
      </w:r>
    </w:p>
    <w:p w14:paraId="78FA1FDF" w14:textId="5076E0E9" w:rsidR="00004EB6" w:rsidRDefault="00004EB6" w:rsidP="00E02E3F">
      <w:r>
        <w:t>Did their approach change as they worked through the model? When?</w:t>
      </w:r>
    </w:p>
    <w:p w14:paraId="33352BE5" w14:textId="4E027BD4" w:rsidR="00004EB6" w:rsidRDefault="00004EB6" w:rsidP="00E02E3F">
      <w:r>
        <w:t>Why Immersive Modeling?</w:t>
      </w:r>
    </w:p>
    <w:p w14:paraId="72A44738" w14:textId="77777777" w:rsidR="00004EB6" w:rsidRDefault="00004EB6" w:rsidP="00E02E3F"/>
    <w:p w14:paraId="251645E6" w14:textId="714D07E7" w:rsidR="00004EB6" w:rsidRDefault="00004EB6" w:rsidP="00E02E3F">
      <w:r>
        <w:t>Who</w:t>
      </w:r>
    </w:p>
    <w:p w14:paraId="2184A21E" w14:textId="18CB6D51" w:rsidR="00004EB6" w:rsidRDefault="00004EB6" w:rsidP="00E02E3F">
      <w:r>
        <w:t>What</w:t>
      </w:r>
    </w:p>
    <w:p w14:paraId="1EEB2E6B" w14:textId="64130262" w:rsidR="00004EB6" w:rsidRDefault="00004EB6" w:rsidP="00E02E3F">
      <w:r>
        <w:t>When</w:t>
      </w:r>
    </w:p>
    <w:p w14:paraId="28224674" w14:textId="65F36920" w:rsidR="00004EB6" w:rsidRDefault="00004EB6" w:rsidP="00E02E3F">
      <w:r>
        <w:t>Where</w:t>
      </w:r>
    </w:p>
    <w:p w14:paraId="2C568777" w14:textId="010D2B91" w:rsidR="00004EB6" w:rsidRPr="00D91283" w:rsidRDefault="00004EB6" w:rsidP="00E02E3F">
      <w:r>
        <w:t>Why</w:t>
      </w:r>
    </w:p>
    <w:sectPr w:rsidR="00004EB6" w:rsidRPr="00D91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128B"/>
    <w:multiLevelType w:val="multilevel"/>
    <w:tmpl w:val="FECC6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BE78E8"/>
    <w:multiLevelType w:val="multilevel"/>
    <w:tmpl w:val="4D0E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D95FC5"/>
    <w:multiLevelType w:val="multilevel"/>
    <w:tmpl w:val="8CA2A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97135"/>
    <w:multiLevelType w:val="multilevel"/>
    <w:tmpl w:val="C0D43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1547930">
    <w:abstractNumId w:val="2"/>
  </w:num>
  <w:num w:numId="2" w16cid:durableId="808978103">
    <w:abstractNumId w:val="3"/>
  </w:num>
  <w:num w:numId="3" w16cid:durableId="2051951809">
    <w:abstractNumId w:val="0"/>
  </w:num>
  <w:num w:numId="4" w16cid:durableId="200566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61F"/>
    <w:rsid w:val="00004EB6"/>
    <w:rsid w:val="000B661F"/>
    <w:rsid w:val="001D154F"/>
    <w:rsid w:val="0041126E"/>
    <w:rsid w:val="004C4224"/>
    <w:rsid w:val="004E5208"/>
    <w:rsid w:val="00791B1C"/>
    <w:rsid w:val="00AF3195"/>
    <w:rsid w:val="00B24077"/>
    <w:rsid w:val="00BF5007"/>
    <w:rsid w:val="00D4734A"/>
    <w:rsid w:val="00D91283"/>
    <w:rsid w:val="00DE0E19"/>
    <w:rsid w:val="00E02E3F"/>
    <w:rsid w:val="00F43606"/>
    <w:rsid w:val="52DE1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98EB"/>
  <w15:chartTrackingRefBased/>
  <w15:docId w15:val="{9DC7F62E-E358-4960-9EA0-34B30B91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61F"/>
    <w:rPr>
      <w:rFonts w:eastAsiaTheme="majorEastAsia" w:cstheme="majorBidi"/>
      <w:color w:val="272727" w:themeColor="text1" w:themeTint="D8"/>
    </w:rPr>
  </w:style>
  <w:style w:type="paragraph" w:styleId="Title">
    <w:name w:val="Title"/>
    <w:basedOn w:val="Normal"/>
    <w:next w:val="Normal"/>
    <w:link w:val="TitleChar"/>
    <w:uiPriority w:val="10"/>
    <w:qFormat/>
    <w:rsid w:val="000B6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61F"/>
    <w:pPr>
      <w:spacing w:before="160"/>
      <w:jc w:val="center"/>
    </w:pPr>
    <w:rPr>
      <w:i/>
      <w:iCs/>
      <w:color w:val="404040" w:themeColor="text1" w:themeTint="BF"/>
    </w:rPr>
  </w:style>
  <w:style w:type="character" w:customStyle="1" w:styleId="QuoteChar">
    <w:name w:val="Quote Char"/>
    <w:basedOn w:val="DefaultParagraphFont"/>
    <w:link w:val="Quote"/>
    <w:uiPriority w:val="29"/>
    <w:rsid w:val="000B661F"/>
    <w:rPr>
      <w:i/>
      <w:iCs/>
      <w:color w:val="404040" w:themeColor="text1" w:themeTint="BF"/>
    </w:rPr>
  </w:style>
  <w:style w:type="paragraph" w:styleId="ListParagraph">
    <w:name w:val="List Paragraph"/>
    <w:basedOn w:val="Normal"/>
    <w:uiPriority w:val="34"/>
    <w:qFormat/>
    <w:rsid w:val="000B661F"/>
    <w:pPr>
      <w:ind w:left="720"/>
      <w:contextualSpacing/>
    </w:pPr>
  </w:style>
  <w:style w:type="character" w:styleId="IntenseEmphasis">
    <w:name w:val="Intense Emphasis"/>
    <w:basedOn w:val="DefaultParagraphFont"/>
    <w:uiPriority w:val="21"/>
    <w:qFormat/>
    <w:rsid w:val="000B661F"/>
    <w:rPr>
      <w:i/>
      <w:iCs/>
      <w:color w:val="0F4761" w:themeColor="accent1" w:themeShade="BF"/>
    </w:rPr>
  </w:style>
  <w:style w:type="paragraph" w:styleId="IntenseQuote">
    <w:name w:val="Intense Quote"/>
    <w:basedOn w:val="Normal"/>
    <w:next w:val="Normal"/>
    <w:link w:val="IntenseQuoteChar"/>
    <w:uiPriority w:val="30"/>
    <w:qFormat/>
    <w:rsid w:val="000B6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61F"/>
    <w:rPr>
      <w:i/>
      <w:iCs/>
      <w:color w:val="0F4761" w:themeColor="accent1" w:themeShade="BF"/>
    </w:rPr>
  </w:style>
  <w:style w:type="character" w:styleId="IntenseReference">
    <w:name w:val="Intense Reference"/>
    <w:basedOn w:val="DefaultParagraphFont"/>
    <w:uiPriority w:val="32"/>
    <w:qFormat/>
    <w:rsid w:val="000B6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3723</Characters>
  <Application>Microsoft Office Word</Application>
  <DocSecurity>4</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Fager</dc:creator>
  <cp:keywords/>
  <dc:description/>
  <cp:lastModifiedBy>Brittany Fager</cp:lastModifiedBy>
  <cp:revision>3</cp:revision>
  <dcterms:created xsi:type="dcterms:W3CDTF">2026-09-22T18:52:00Z</dcterms:created>
  <dcterms:modified xsi:type="dcterms:W3CDTF">2026-10-22T01:36:00Z</dcterms:modified>
</cp:coreProperties>
</file>