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FD2AC9" w:rsidRDefault="00FD2AC9" w:rsidP="009755BB">
      <w:pPr>
        <w:jc w:val="both"/>
      </w:pPr>
    </w:p>
    <w:p w:rsidR="00072926" w:rsidRDefault="00072926" w:rsidP="009755BB">
      <w:pPr>
        <w:jc w:val="both"/>
      </w:pPr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4741D7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4741D7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4741D7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4741D7">
        <w:fldChar w:fldCharType="begin"/>
      </w:r>
      <w:r w:rsidR="004741D7">
        <w:instrText>HYPERLINK \l "_ENREF_2" \o "Craig, 2004 #46"</w:instrText>
      </w:r>
      <w:r w:rsidR="004741D7">
        <w:fldChar w:fldCharType="separate"/>
      </w:r>
      <w:r w:rsidR="004741D7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4741D7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4741D7" w:rsidRPr="00226505">
        <w:fldChar w:fldCharType="end"/>
      </w:r>
      <w:r w:rsidR="004741D7">
        <w:fldChar w:fldCharType="end"/>
      </w:r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4741D7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 xml:space="preserve">Peptide </w:t>
                  </w: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 xml:space="preserve">Peptide </w:t>
                  </w: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</w:t>
      </w:r>
      <w:proofErr w:type="spellStart"/>
      <w:r>
        <w:t>X!</w:t>
      </w:r>
      <w:r w:rsidRPr="006A6517">
        <w:rPr>
          <w:color w:val="1F497D" w:themeColor="text2"/>
        </w:rPr>
        <w:t>Tandem</w:t>
      </w:r>
      <w:proofErr w:type="spellEnd"/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4741D7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4741D7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4741D7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proofErr w:type="spellStart"/>
      <w:r w:rsidR="00072926" w:rsidRPr="00770015">
        <w:rPr>
          <w:color w:val="1F497D" w:themeColor="text2"/>
        </w:rPr>
        <w:t>X!Tandem</w:t>
      </w:r>
      <w:proofErr w:type="spellEnd"/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proofErr w:type="spellStart"/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proofErr w:type="spellEnd"/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28799B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F50BB1">
        <w:rPr>
          <w:lang w:val="en-GB"/>
        </w:rPr>
        <w:t>is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home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</w:t>
      </w:r>
      <w:proofErr w:type="spellStart"/>
      <w:r>
        <w:rPr>
          <w:i/>
          <w:lang w:val="en-GB"/>
        </w:rPr>
        <w:t>X!Tandem</w:t>
      </w:r>
      <w:proofErr w:type="spellEnd"/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4741D7" w:rsidP="00951C83">
      <w:pPr>
        <w:jc w:val="both"/>
        <w:rPr>
          <w:i/>
          <w:lang w:val="en-GB"/>
        </w:rPr>
      </w:pPr>
      <w:r w:rsidRPr="004741D7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F96E74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59502" cy="4317016"/>
            <wp:effectExtent l="0" t="19050" r="79248" b="6448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02" cy="431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0F07F4">
        <w:rPr>
          <w:lang w:val="en-GB"/>
        </w:rPr>
        <w:lastRenderedPageBreak/>
        <w:t>Note that at the top</w:t>
      </w:r>
      <w:r>
        <w:rPr>
          <w:lang w:val="en-GB"/>
        </w:rPr>
        <w:t xml:space="preserve"> of this tab</w:t>
      </w:r>
      <w:r w:rsidRPr="000F07F4">
        <w:rPr>
          <w:lang w:val="en-GB"/>
        </w:rPr>
        <w:t xml:space="preserve">, you can load or save the </w:t>
      </w:r>
      <w:r w:rsidR="000B52CC">
        <w:rPr>
          <w:lang w:val="en-GB"/>
        </w:rPr>
        <w:t>settings</w:t>
      </w:r>
      <w:r w:rsidRPr="000F07F4">
        <w:rPr>
          <w:lang w:val="en-GB"/>
        </w:rPr>
        <w:t xml:space="preserve"> you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enter - this makes it easy to keep track of your </w:t>
      </w:r>
      <w:r w:rsidR="00AE7EFF">
        <w:rPr>
          <w:lang w:val="en-GB"/>
        </w:rPr>
        <w:t>search settings</w:t>
      </w:r>
      <w:r w:rsidRPr="000F07F4">
        <w:rPr>
          <w:lang w:val="en-GB"/>
        </w:rPr>
        <w:t xml:space="preserve">, and to reuse them </w:t>
      </w:r>
      <w:r w:rsidRPr="00DD1C15">
        <w:rPr>
          <w:i/>
          <w:lang w:val="en-GB"/>
        </w:rPr>
        <w:t>verbatim</w:t>
      </w:r>
      <w:r w:rsidRPr="000F07F4">
        <w:rPr>
          <w:lang w:val="en-GB"/>
        </w:rPr>
        <w:t xml:space="preserve"> later on.</w:t>
      </w:r>
      <w:r>
        <w:rPr>
          <w:lang w:val="en-GB"/>
        </w:rPr>
        <w:t xml:space="preserve"> The</w:t>
      </w:r>
      <w:r w:rsidR="00807B69">
        <w:rPr>
          <w:lang w:val="en-GB"/>
        </w:rPr>
        <w:t xml:space="preserve">se can also be loaded </w:t>
      </w:r>
      <w:r w:rsidR="000B52CC">
        <w:rPr>
          <w:lang w:val="en-GB"/>
        </w:rPr>
        <w:t>directly in</w:t>
      </w:r>
      <w:r w:rsidR="00807B69">
        <w:rPr>
          <w:lang w:val="en-GB"/>
        </w:rPr>
        <w:t xml:space="preserve"> the</w:t>
      </w:r>
      <w:r w:rsidR="000B52CC">
        <w:rPr>
          <w:lang w:val="en-GB"/>
        </w:rPr>
        <w:t xml:space="preserve"> main </w:t>
      </w:r>
      <w:r w:rsidR="000B52CC" w:rsidRPr="00805863">
        <w:rPr>
          <w:color w:val="1F497D" w:themeColor="text2"/>
        </w:rPr>
        <w:t>SearchGUI</w:t>
      </w:r>
      <w:r w:rsidR="000B52CC">
        <w:rPr>
          <w:lang w:val="en-GB"/>
        </w:rPr>
        <w:t xml:space="preserve"> display</w:t>
      </w:r>
      <w:r>
        <w:rPr>
          <w:lang w:val="en-GB"/>
        </w:rPr>
        <w:t>.</w:t>
      </w:r>
      <w:r w:rsidRPr="000F07F4">
        <w:rPr>
          <w:lang w:val="en-GB"/>
        </w:rPr>
        <w:t xml:space="preserve"> For now, we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define the</w:t>
      </w:r>
      <w:r>
        <w:rPr>
          <w:lang w:val="en-GB"/>
        </w:rPr>
        <w:t xml:space="preserve"> </w:t>
      </w:r>
      <w:r w:rsidR="00AE7EFF">
        <w:rPr>
          <w:lang w:val="en-GB"/>
        </w:rPr>
        <w:t>settings</w:t>
      </w:r>
      <w:r w:rsidRPr="000F07F4">
        <w:rPr>
          <w:lang w:val="en-GB"/>
        </w:rPr>
        <w:t xml:space="preserve"> </w:t>
      </w:r>
      <w:r w:rsidR="008F1B7D">
        <w:rPr>
          <w:lang w:val="en-GB"/>
        </w:rPr>
        <w:t>manually</w:t>
      </w:r>
      <w:r w:rsidRPr="000F07F4">
        <w:rPr>
          <w:lang w:val="en-GB"/>
        </w:rPr>
        <w:t>.</w:t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>. Note that the sel</w:t>
      </w:r>
      <w:r w:rsidR="00C71A61">
        <w:rPr>
          <w:lang w:val="en-GB"/>
        </w:rPr>
        <w:t>ected database has changed t</w:t>
      </w:r>
      <w:r w:rsidR="00F12A16">
        <w:rPr>
          <w:lang w:val="en-GB"/>
        </w:rPr>
        <w:t xml:space="preserve">o use the </w:t>
      </w:r>
      <w:r w:rsidR="00824338">
        <w:rPr>
          <w:lang w:val="en-GB"/>
        </w:rPr>
        <w:t xml:space="preserve">just created </w:t>
      </w:r>
      <w:r w:rsidR="00F12A16">
        <w:rPr>
          <w:lang w:val="en-GB"/>
        </w:rPr>
        <w:t>target/decoy version.</w:t>
      </w:r>
    </w:p>
    <w:p w:rsidR="00D04595" w:rsidRDefault="004741D7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12A16" w:rsidRDefault="004741D7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s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t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75BE9" w:rsidRDefault="00975BE9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75BE9" w:rsidRDefault="00B83F04" w:rsidP="00975BE9">
      <w:pPr>
        <w:jc w:val="both"/>
        <w:rPr>
          <w:i/>
          <w:lang w:val="en-GB"/>
        </w:rPr>
      </w:pPr>
      <w:r>
        <w:rPr>
          <w:lang w:val="en-GB"/>
        </w:rPr>
        <w:lastRenderedPageBreak/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072926">
        <w:rPr>
          <w:lang w:val="en-GB"/>
        </w:rPr>
        <w:t xml:space="preserve"> - leave it </w:t>
      </w:r>
      <w:r w:rsidR="008A7873">
        <w:rPr>
          <w:lang w:val="en-GB"/>
        </w:rPr>
        <w:t xml:space="preserve">set </w:t>
      </w:r>
      <w:r w:rsidR="00072926">
        <w:rPr>
          <w:lang w:val="en-GB"/>
        </w:rPr>
        <w:t xml:space="preserve">at </w:t>
      </w:r>
      <w:proofErr w:type="spellStart"/>
      <w:r w:rsidR="00072926">
        <w:rPr>
          <w:lang w:val="en-GB"/>
        </w:rPr>
        <w:t>T</w:t>
      </w:r>
      <w:r w:rsidR="00072926" w:rsidRPr="0059665A">
        <w:rPr>
          <w:lang w:val="en-GB"/>
        </w:rPr>
        <w:t>rypsin</w:t>
      </w:r>
      <w:proofErr w:type="spellEnd"/>
      <w:r w:rsidR="00072926" w:rsidRPr="0059665A">
        <w:rPr>
          <w:lang w:val="en-GB"/>
        </w:rPr>
        <w:t xml:space="preserve">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the fragment ion mass tolerance</w:t>
      </w:r>
      <w:r>
        <w:rPr>
          <w:lang w:val="en-GB"/>
        </w:rPr>
        <w:t xml:space="preserve"> at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using a mass tolerance in </w:t>
      </w:r>
      <w:proofErr w:type="spellStart"/>
      <w:r w:rsidRPr="003E5080">
        <w:rPr>
          <w:i/>
          <w:lang w:val="en-GB"/>
        </w:rPr>
        <w:t>ppm</w:t>
      </w:r>
      <w:proofErr w:type="spellEnd"/>
      <w:r w:rsidRPr="003E5080">
        <w:rPr>
          <w:i/>
          <w:lang w:val="en-GB"/>
        </w:rPr>
        <w:t xml:space="preserve">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395D9F" w:rsidRDefault="00072926" w:rsidP="00395D9F">
      <w:pPr>
        <w:jc w:val="both"/>
        <w:rPr>
          <w:i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D563E0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D563E0">
        <w:rPr>
          <w:lang w:val="en-GB"/>
        </w:rPr>
        <w:t xml:space="preserve">Click the small triangle above the modification table and select the 'Edit Modifications' option.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911D48" w:rsidRDefault="00255774" w:rsidP="00564208">
      <w:pPr>
        <w:jc w:val="both"/>
        <w:rPr>
          <w:lang w:val="en-GB"/>
        </w:rPr>
      </w:pPr>
      <w:r>
        <w:rPr>
          <w:lang w:val="en-GB"/>
        </w:rPr>
        <w:t>In the 'Find' field</w:t>
      </w:r>
      <w:r w:rsidR="00564208">
        <w:rPr>
          <w:lang w:val="en-GB"/>
        </w:rPr>
        <w:t xml:space="preserve"> type ‘</w:t>
      </w:r>
      <w:proofErr w:type="spellStart"/>
      <w:r w:rsidR="00564208">
        <w:rPr>
          <w:lang w:val="en-GB"/>
        </w:rPr>
        <w:t>phosphorylation</w:t>
      </w:r>
      <w:proofErr w:type="spellEnd"/>
      <w:r w:rsidR="00564208">
        <w:rPr>
          <w:lang w:val="en-GB"/>
        </w:rPr>
        <w:t>’</w:t>
      </w:r>
      <w:r w:rsidR="00911D48">
        <w:rPr>
          <w:lang w:val="en-GB"/>
        </w:rPr>
        <w:t>. You will see that many modifications are available</w:t>
      </w:r>
      <w:r w:rsidR="004F50BE">
        <w:rPr>
          <w:lang w:val="en-GB"/>
        </w:rPr>
        <w:t>:</w:t>
      </w:r>
    </w:p>
    <w:p w:rsidR="00D04595" w:rsidRPr="0013693A" w:rsidRDefault="00D04595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Pr="0013693A" w:rsidRDefault="0091217E" w:rsidP="0091217E">
      <w:pPr>
        <w:jc w:val="both"/>
        <w:rPr>
          <w:i/>
          <w:sz w:val="4"/>
          <w:lang w:val="en-GB"/>
        </w:rPr>
      </w:pPr>
    </w:p>
    <w:p w:rsidR="0091217E" w:rsidRDefault="0091217E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</w:t>
      </w:r>
      <w:r>
        <w:rPr>
          <w:i/>
          <w:lang w:val="en-GB"/>
        </w:rPr>
        <w:t xml:space="preserve">the different </w:t>
      </w:r>
      <w:proofErr w:type="spellStart"/>
      <w:r>
        <w:rPr>
          <w:i/>
          <w:lang w:val="en-GB"/>
        </w:rPr>
        <w:t>phosphorylation</w:t>
      </w:r>
      <w:proofErr w:type="spellEnd"/>
      <w:r>
        <w:rPr>
          <w:i/>
          <w:lang w:val="en-GB"/>
        </w:rPr>
        <w:t xml:space="preserve"> possibilities? How does the selection affect your search results?</w:t>
      </w:r>
      <w:r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>a neutral loss? What is a reporter loss?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4741D7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A6D33">
        <w:rPr>
          <w:lang w:val="en-GB"/>
        </w:rPr>
        <w:t>Go to the top of the dialog, click the 'Save As' button</w:t>
      </w:r>
      <w:r w:rsidR="00741510">
        <w:rPr>
          <w:lang w:val="en-GB"/>
        </w:rPr>
        <w:t xml:space="preserve">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frame.</w:t>
      </w:r>
      <w:r w:rsidR="006B11F8" w:rsidRPr="007833A8">
        <w:rPr>
          <w:lang w:val="en-GB"/>
        </w:rPr>
        <w:t xml:space="preserve"> Click</w:t>
      </w:r>
      <w:r w:rsidR="006B11F8">
        <w:rPr>
          <w:lang w:val="en-GB"/>
        </w:rPr>
        <w:t xml:space="preserve"> 'OK' to close the </w:t>
      </w:r>
      <w:r w:rsidR="006B11F8" w:rsidRPr="00877371">
        <w:rPr>
          <w:color w:val="1F497D" w:themeColor="text2"/>
          <w:lang w:val="en-GB"/>
        </w:rPr>
        <w:t>Search Settings</w:t>
      </w:r>
      <w:r w:rsidR="006B11F8">
        <w:rPr>
          <w:lang w:val="en-GB"/>
        </w:rPr>
        <w:t xml:space="preserve"> dialog</w:t>
      </w:r>
      <w:r w:rsidR="008D4629">
        <w:rPr>
          <w:lang w:val="en-GB"/>
        </w:rPr>
        <w:t xml:space="preserve"> and go back to the main </w:t>
      </w:r>
      <w:r w:rsidR="00877371">
        <w:rPr>
          <w:lang w:val="en-GB"/>
        </w:rPr>
        <w:t>dialog</w:t>
      </w:r>
      <w:r w:rsidR="008D4629">
        <w:rPr>
          <w:lang w:val="en-GB"/>
        </w:rPr>
        <w:t>.</w:t>
      </w:r>
    </w:p>
    <w:p w:rsidR="00072926" w:rsidRDefault="00072926" w:rsidP="00083D4C">
      <w:pPr>
        <w:jc w:val="both"/>
        <w:rPr>
          <w:lang w:val="en-GB"/>
        </w:rPr>
      </w:pPr>
      <w:r w:rsidRPr="009C0DFD">
        <w:rPr>
          <w:lang w:val="en-GB"/>
        </w:rPr>
        <w:lastRenderedPageBreak/>
        <w:t>Note that both search engines</w:t>
      </w:r>
      <w:r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>
        <w:rPr>
          <w:lang w:val="en-GB"/>
        </w:rPr>
        <w:t>his means</w:t>
      </w:r>
      <w:r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>
        <w:rPr>
          <w:lang w:val="en-GB"/>
        </w:rPr>
        <w:t>one can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Pr="009C0DFD">
        <w:rPr>
          <w:lang w:val="en-GB"/>
        </w:rPr>
        <w:t xml:space="preserve">both </w:t>
      </w:r>
      <w:r w:rsidRPr="00083D4C">
        <w:rPr>
          <w:color w:val="1F497D" w:themeColor="text2"/>
          <w:lang w:val="en-GB"/>
        </w:rPr>
        <w:t>OMSSA</w:t>
      </w:r>
      <w:r w:rsidRPr="009C0DFD">
        <w:rPr>
          <w:lang w:val="en-GB"/>
        </w:rPr>
        <w:t xml:space="preserve"> and </w:t>
      </w:r>
      <w:proofErr w:type="spellStart"/>
      <w:r w:rsidRPr="00083D4C">
        <w:rPr>
          <w:color w:val="1F497D" w:themeColor="text2"/>
          <w:lang w:val="en-GB"/>
        </w:rPr>
        <w:t>X!Tandem</w:t>
      </w:r>
      <w:proofErr w:type="spellEnd"/>
      <w:r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28799B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3A8" w:rsidRDefault="004741D7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43.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Default="00D04595" w:rsidP="00476095">
      <w:pPr>
        <w:spacing w:after="0" w:line="240" w:lineRule="auto"/>
        <w:rPr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DD04BD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621007" cy="3242990"/>
            <wp:effectExtent l="0" t="19050" r="74693" b="526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07" cy="32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Note that the search takes almost half an hour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</w:t>
      </w:r>
      <w:bookmarkStart w:id="0" w:name="_GoBack"/>
      <w:bookmarkEnd w:id="0"/>
      <w:r w:rsidR="00065981">
        <w:rPr>
          <w:lang w:val="en-GB"/>
        </w:rPr>
        <w:t xml:space="preserve">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072926" w:rsidRDefault="00347D4C" w:rsidP="0028799B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1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</w:p>
    <w:p w:rsidR="007C26C4" w:rsidRDefault="007C26C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9770D" w:rsidRDefault="004741D7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4741D7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D50" w:rsidRDefault="009F2D50" w:rsidP="00C22471">
      <w:pPr>
        <w:spacing w:after="0" w:line="240" w:lineRule="auto"/>
      </w:pPr>
      <w:r>
        <w:separator/>
      </w:r>
    </w:p>
  </w:endnote>
  <w:endnote w:type="continuationSeparator" w:id="0">
    <w:p w:rsidR="009F2D50" w:rsidRDefault="009F2D50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4741D7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4741D7" w:rsidRPr="00EE5E45">
      <w:rPr>
        <w:b/>
      </w:rPr>
      <w:fldChar w:fldCharType="separate"/>
    </w:r>
    <w:r w:rsidR="00F34DD7">
      <w:rPr>
        <w:b/>
        <w:noProof/>
      </w:rPr>
      <w:t>2</w:t>
    </w:r>
    <w:r w:rsidR="004741D7" w:rsidRPr="00EE5E45">
      <w:rPr>
        <w:b/>
      </w:rPr>
      <w:fldChar w:fldCharType="end"/>
    </w:r>
    <w:r w:rsidRPr="00EE5E45">
      <w:t xml:space="preserve"> of </w:t>
    </w:r>
    <w:r w:rsidR="004741D7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4741D7" w:rsidRPr="00EE5E45">
      <w:rPr>
        <w:b/>
      </w:rPr>
      <w:fldChar w:fldCharType="separate"/>
    </w:r>
    <w:r w:rsidR="00F34DD7">
      <w:rPr>
        <w:b/>
        <w:noProof/>
      </w:rPr>
      <w:t>9</w:t>
    </w:r>
    <w:r w:rsidR="004741D7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D50" w:rsidRDefault="009F2D50" w:rsidP="00C22471">
      <w:pPr>
        <w:spacing w:after="0" w:line="240" w:lineRule="auto"/>
      </w:pPr>
      <w:r>
        <w:separator/>
      </w:r>
    </w:p>
  </w:footnote>
  <w:footnote w:type="continuationSeparator" w:id="0">
    <w:p w:rsidR="009F2D50" w:rsidRDefault="009F2D50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451B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688F"/>
    <w:rsid w:val="00371EEA"/>
    <w:rsid w:val="00372416"/>
    <w:rsid w:val="0037441F"/>
    <w:rsid w:val="00375E9F"/>
    <w:rsid w:val="00377AA1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6A27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4338"/>
    <w:rsid w:val="00824DB1"/>
    <w:rsid w:val="008252AD"/>
    <w:rsid w:val="00827903"/>
    <w:rsid w:val="00830E8D"/>
    <w:rsid w:val="00831135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fc"/>
      <o:colormenu v:ext="edit" fillcolor="#ffc"/>
    </o:shapedefaults>
    <o:shapelayout v:ext="edit">
      <o:idmap v:ext="edit" data="1"/>
      <o:rules v:ext="edit">
        <o:r id="V:Rule4" type="connector" idref="#Gerade Verbindung mit Pfeil 351"/>
        <o:r id="V:Rule5" type="connector" idref="#Gerade Verbindung mit Pfeil 349"/>
        <o:r id="V:Rule6" type="connector" idref="#Gerade Verbindung mit Pfeil 3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searchgui.googlecod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497C-AD6F-4DF6-8906-DA9669038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1942</Words>
  <Characters>10296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12214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264</cp:revision>
  <cp:lastPrinted>2012-09-15T11:04:00Z</cp:lastPrinted>
  <dcterms:created xsi:type="dcterms:W3CDTF">2011-09-01T10:00:00Z</dcterms:created>
  <dcterms:modified xsi:type="dcterms:W3CDTF">2013-09-29T09:37:00Z</dcterms:modified>
</cp:coreProperties>
</file>