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26505">
        <w:rPr>
          <w:color w:val="1F497D" w:themeColor="text2"/>
        </w:rPr>
        <w:t>OMSSA</w:t>
      </w:r>
      <w:hyperlink w:anchor="_ENREF_1" w:tooltip="Geer, 2004 #16" w:history="1">
        <w:r w:rsidR="004A0328">
          <w:rPr>
            <w:b/>
          </w:rPr>
          <w:fldChar w:fldCharType="begin"/>
        </w:r>
        <w:r w:rsidR="00F7458A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Article"&gt;17&lt;/ref-type&gt;&lt;contributors&gt;&lt;authors&gt;&lt;author&gt;Geer, L. Y.&lt;/author&gt;&lt;author&gt;Markey, S. P.&lt;/author&gt;&lt;author&gt;Kowalak,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4A0328">
          <w:rPr>
            <w:b/>
          </w:rPr>
          <w:fldChar w:fldCharType="separate"/>
        </w:r>
        <w:r w:rsidR="00F7458A" w:rsidRPr="00072926">
          <w:rPr>
            <w:b/>
            <w:noProof/>
            <w:vertAlign w:val="superscript"/>
          </w:rPr>
          <w:t>1</w:t>
        </w:r>
        <w:r w:rsidR="004A0328">
          <w:rPr>
            <w:b/>
          </w:rPr>
          <w:fldChar w:fldCharType="end"/>
        </w:r>
      </w:hyperlink>
      <w:r>
        <w:t xml:space="preserve"> and </w:t>
      </w:r>
      <w:proofErr w:type="spellStart"/>
      <w:r w:rsidRPr="00226505">
        <w:rPr>
          <w:color w:val="1F497D" w:themeColor="text2"/>
        </w:rPr>
        <w:t>X!Tandem</w:t>
      </w:r>
      <w:proofErr w:type="spellEnd"/>
      <w:r w:rsidR="004A0328">
        <w:fldChar w:fldCharType="begin"/>
      </w:r>
      <w:r w:rsidR="004741D7">
        <w:instrText>HYPERLINK \l "_ENREF_2" \o "Craig, 2004 #46"</w:instrText>
      </w:r>
      <w:r w:rsidR="004A0328">
        <w:fldChar w:fldCharType="separate"/>
      </w:r>
      <w:r w:rsidR="004A0328" w:rsidRPr="00226505">
        <w:fldChar w:fldCharType="begin"/>
      </w:r>
      <w:r w:rsidR="00F7458A" w:rsidRPr="00226505">
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</w:r>
      <w:r w:rsidR="004A0328" w:rsidRPr="00226505">
        <w:fldChar w:fldCharType="separate"/>
      </w:r>
      <w:r w:rsidR="00F7458A" w:rsidRPr="00226505">
        <w:rPr>
          <w:noProof/>
          <w:vertAlign w:val="superscript"/>
        </w:rPr>
        <w:t>2</w:t>
      </w:r>
      <w:r w:rsidR="004A0328" w:rsidRPr="00226505">
        <w:fldChar w:fldCharType="end"/>
      </w:r>
      <w:r w:rsidR="004A0328">
        <w:fldChar w:fldCharType="end"/>
      </w:r>
      <w:r w:rsidRPr="002B197F">
        <w:t xml:space="preserve">, two 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4A0328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Default="006A6517" w:rsidP="009755BB">
      <w:pPr>
        <w:jc w:val="both"/>
      </w:pPr>
      <w:r>
        <w:lastRenderedPageBreak/>
        <w:t xml:space="preserve">Both </w:t>
      </w:r>
      <w:r w:rsidRPr="006A6517">
        <w:rPr>
          <w:color w:val="1F497D" w:themeColor="text2"/>
        </w:rPr>
        <w:t>OMSSA</w:t>
      </w:r>
      <w:r>
        <w:t xml:space="preserve"> and </w:t>
      </w:r>
      <w:proofErr w:type="spellStart"/>
      <w:r w:rsidRPr="00735DF8">
        <w:rPr>
          <w:color w:val="1F497D" w:themeColor="text2"/>
        </w:rPr>
        <w:t>X!</w:t>
      </w:r>
      <w:r w:rsidRPr="006A6517">
        <w:rPr>
          <w:color w:val="1F497D" w:themeColor="text2"/>
        </w:rPr>
        <w:t>Tandem</w:t>
      </w:r>
      <w:proofErr w:type="spellEnd"/>
      <w:r w:rsidR="00072926">
        <w:t xml:space="preserve"> </w:t>
      </w:r>
      <w:r>
        <w:t>can easily be used</w:t>
      </w:r>
      <w:r w:rsidR="00072926">
        <w:t xml:space="preserve"> together </w:t>
      </w:r>
      <w:r w:rsidR="00072926" w:rsidRPr="004967ED">
        <w:rPr>
          <w:i/>
        </w:rPr>
        <w:t>via</w:t>
      </w:r>
      <w:r w:rsidR="00072926">
        <w:t xml:space="preserve"> a simple </w:t>
      </w:r>
      <w:r>
        <w:t xml:space="preserve">user </w:t>
      </w:r>
      <w:r w:rsidR="00072926">
        <w:t xml:space="preserve">interface called </w:t>
      </w:r>
      <w:r w:rsidR="00072926" w:rsidRPr="00770015">
        <w:rPr>
          <w:color w:val="1F497D" w:themeColor="text2"/>
        </w:rPr>
        <w:t>SearchGUI</w:t>
      </w:r>
      <w:r w:rsidR="003A1D01">
        <w:rPr>
          <w:color w:val="1F497D" w:themeColor="text2"/>
        </w:rPr>
        <w:t>.</w:t>
      </w:r>
      <w:hyperlink w:anchor="_ENREF_3" w:tooltip="Vaudel, 2011 #18" w:history="1">
        <w:r w:rsidR="004A0328" w:rsidRPr="00770015">
          <w:fldChar w:fldCharType="begin"/>
        </w:r>
        <w:r w:rsidR="00F7458A" w:rsidRPr="00770015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4A0328" w:rsidRPr="00770015">
          <w:fldChar w:fldCharType="separate"/>
        </w:r>
        <w:r w:rsidR="00F7458A" w:rsidRPr="00770015">
          <w:rPr>
            <w:noProof/>
            <w:vertAlign w:val="superscript"/>
          </w:rPr>
          <w:t>3</w:t>
        </w:r>
        <w:r w:rsidR="004A0328" w:rsidRPr="00770015">
          <w:fldChar w:fldCharType="end"/>
        </w:r>
      </w:hyperlink>
      <w:r w:rsidR="00072926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72926" w:rsidRPr="00770015">
        <w:rPr>
          <w:color w:val="1F497D" w:themeColor="text2"/>
        </w:rPr>
        <w:t xml:space="preserve">OMSSA </w:t>
      </w:r>
      <w:r w:rsidR="00072926">
        <w:t xml:space="preserve">and </w:t>
      </w:r>
      <w:proofErr w:type="spellStart"/>
      <w:r w:rsidR="00072926" w:rsidRPr="00770015">
        <w:rPr>
          <w:color w:val="1F497D" w:themeColor="text2"/>
        </w:rPr>
        <w:t>X!Tandem</w:t>
      </w:r>
      <w:proofErr w:type="spellEnd"/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072926">
        <w:t xml:space="preserve">: </w:t>
      </w:r>
      <w:hyperlink r:id="rId14" w:history="1">
        <w:r w:rsidR="008946D1" w:rsidRPr="00C94F9A">
          <w:rPr>
            <w:rStyle w:val="Hyperlink"/>
          </w:rPr>
          <w:t>http://searchgui.googlecode.com</w:t>
        </w:r>
      </w:hyperlink>
      <w:r w:rsidR="00072926">
        <w:t xml:space="preserve">.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Default="00D04595" w:rsidP="009755BB">
      <w:pPr>
        <w:jc w:val="both"/>
      </w:pPr>
    </w:p>
    <w:p w:rsidR="00F50BB1" w:rsidRDefault="0041419B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06303" cy="3213068"/>
            <wp:effectExtent l="0" t="19050" r="75247" b="6353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03" cy="32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r w:rsidRPr="004E5F4D">
        <w:rPr>
          <w:color w:val="1F497D" w:themeColor="text2"/>
          <w:lang w:val="en-GB"/>
        </w:rPr>
        <w:t xml:space="preserve">OMSSA </w:t>
      </w:r>
      <w:r>
        <w:rPr>
          <w:lang w:val="en-GB"/>
        </w:rPr>
        <w:t xml:space="preserve">and </w:t>
      </w:r>
      <w:proofErr w:type="spellStart"/>
      <w:r w:rsidRPr="004E5F4D">
        <w:rPr>
          <w:color w:val="1F497D" w:themeColor="text2"/>
          <w:lang w:val="en-GB"/>
        </w:rPr>
        <w:t>X!Tandem</w:t>
      </w:r>
      <w:proofErr w:type="spellEnd"/>
      <w:r w:rsidRPr="004E5F4D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>
        <w:rPr>
          <w:lang w:val="en-GB"/>
        </w:rPr>
        <w:t xml:space="preserve"> </w:t>
      </w:r>
      <w:r w:rsidRPr="004E5F4D">
        <w:rPr>
          <w:lang w:val="en-GB"/>
        </w:rPr>
        <w:t>OMSSA</w:t>
      </w:r>
      <w:r>
        <w:rPr>
          <w:lang w:val="en-GB"/>
        </w:rPr>
        <w:t xml:space="preserve"> and </w:t>
      </w:r>
      <w:proofErr w:type="spellStart"/>
      <w:r w:rsidRPr="004E5F4D">
        <w:rPr>
          <w:lang w:val="en-GB"/>
        </w:rPr>
        <w:t>X!Tandem</w:t>
      </w:r>
      <w:proofErr w:type="spellEnd"/>
      <w:r>
        <w:rPr>
          <w:lang w:val="en-GB"/>
        </w:rPr>
        <w:t xml:space="preserve"> along with it! </w:t>
      </w:r>
    </w:p>
    <w:p w:rsidR="00072926" w:rsidRPr="00072926" w:rsidRDefault="00072926" w:rsidP="00072926">
      <w:pPr>
        <w:jc w:val="both"/>
        <w:rPr>
          <w:i/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OMSSA or </w:t>
      </w:r>
      <w:proofErr w:type="spellStart"/>
      <w:r>
        <w:rPr>
          <w:i/>
          <w:lang w:val="en-GB"/>
        </w:rPr>
        <w:t>X!Tandem</w:t>
      </w:r>
      <w:proofErr w:type="spellEnd"/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</w:p>
    <w:p w:rsidR="003A1D01" w:rsidRDefault="003A1D01">
      <w:pPr>
        <w:spacing w:after="0" w:line="240" w:lineRule="auto"/>
        <w:rPr>
          <w:lang w:val="en-GB"/>
        </w:rPr>
      </w:pPr>
    </w:p>
    <w:p w:rsidR="003A1D01" w:rsidRDefault="003A1D01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2926" w:rsidRDefault="004A0328" w:rsidP="00951C83">
      <w:pPr>
        <w:jc w:val="both"/>
        <w:rPr>
          <w:i/>
          <w:lang w:val="en-GB"/>
        </w:rPr>
      </w:pPr>
      <w:r w:rsidRPr="004A0328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1419B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4A0328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4A0328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F66E79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184017" cy="3858006"/>
            <wp:effectExtent l="0" t="19050" r="73533" b="66294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017" cy="385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4A0328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>ote that both 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 at the top.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r w:rsidR="00072926" w:rsidRPr="009C0DFD">
        <w:rPr>
          <w:lang w:val="en-GB"/>
        </w:rPr>
        <w:t xml:space="preserve">both </w:t>
      </w:r>
      <w:r w:rsidR="00072926" w:rsidRPr="00083D4C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 and </w:t>
      </w:r>
      <w:proofErr w:type="spellStart"/>
      <w:r w:rsidR="00072926" w:rsidRPr="00083D4C">
        <w:rPr>
          <w:color w:val="1F497D" w:themeColor="text2"/>
          <w:lang w:val="en-GB"/>
        </w:rPr>
        <w:t>X!Tandem</w:t>
      </w:r>
      <w:proofErr w:type="spellEnd"/>
      <w:r w:rsidR="00072926" w:rsidRPr="009C0DFD">
        <w:rPr>
          <w:lang w:val="en-GB"/>
        </w:rPr>
        <w:t xml:space="preserve">, and get result files for </w:t>
      </w:r>
      <w:r w:rsidR="00247177">
        <w:rPr>
          <w:lang w:val="en-GB"/>
        </w:rPr>
        <w:t>both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 screen:</w:t>
      </w:r>
    </w:p>
    <w:p w:rsidR="00D04595" w:rsidRDefault="00D04595" w:rsidP="00072926">
      <w:pPr>
        <w:jc w:val="both"/>
        <w:rPr>
          <w:lang w:val="en-GB"/>
        </w:rPr>
      </w:pPr>
    </w:p>
    <w:p w:rsidR="007833A8" w:rsidRDefault="00C7048A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706303" cy="3213068"/>
            <wp:effectExtent l="0" t="19050" r="75247" b="63532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03" cy="321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33A8" w:rsidRDefault="004A0328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3" type="#_x0000_t202" style="position:absolute;left:0;text-align:left;margin-left:7.2pt;margin-top:43.5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7833A8" w:rsidRDefault="007833A8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C11E5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643647" cy="3424051"/>
            <wp:effectExtent l="0" t="19050" r="80753" b="62099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598" cy="3420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7C26C4">
        <w:rPr>
          <w:lang w:val="en-GB"/>
        </w:rPr>
        <w:t>several</w:t>
      </w:r>
      <w:r>
        <w:rPr>
          <w:lang w:val="en-GB"/>
        </w:rPr>
        <w:t xml:space="preserve"> files, where the two most important are the output files </w:t>
      </w:r>
      <w:r w:rsidRPr="00371EEA">
        <w:rPr>
          <w:lang w:val="en-GB"/>
        </w:rPr>
        <w:t xml:space="preserve">for </w:t>
      </w:r>
      <w:r>
        <w:rPr>
          <w:lang w:val="en-GB"/>
        </w:rPr>
        <w:t>the</w:t>
      </w:r>
      <w:r w:rsidRPr="00371EEA">
        <w:rPr>
          <w:lang w:val="en-GB"/>
        </w:rPr>
        <w:t xml:space="preserve"> search engine</w:t>
      </w:r>
      <w:r>
        <w:rPr>
          <w:lang w:val="en-GB"/>
        </w:rPr>
        <w:t>s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takes </w:t>
      </w:r>
      <w:r w:rsidR="00C11E5A">
        <w:rPr>
          <w:lang w:val="en-GB"/>
        </w:rPr>
        <w:t xml:space="preserve">around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matches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09770D" w:rsidRDefault="004A0328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lang w:val="en-GB"/>
        </w:rPr>
        <w:fldChar w:fldCharType="begin"/>
      </w:r>
      <w:r w:rsidR="00072926"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09770D">
        <w:rPr>
          <w:noProof/>
          <w:lang w:val="en-GB"/>
        </w:rPr>
        <w:t>1.</w:t>
      </w:r>
      <w:r w:rsidR="0009770D">
        <w:rPr>
          <w:noProof/>
          <w:lang w:val="en-GB"/>
        </w:rPr>
        <w:tab/>
        <w:t xml:space="preserve">Geer, L.Y. et al. Open mass spectrometry search algorithm. </w:t>
      </w:r>
      <w:r w:rsidR="0009770D" w:rsidRPr="0009770D">
        <w:rPr>
          <w:i/>
          <w:noProof/>
          <w:lang w:val="en-GB"/>
        </w:rPr>
        <w:t>J Proteome Res</w:t>
      </w:r>
      <w:r w:rsidR="0009770D">
        <w:rPr>
          <w:noProof/>
          <w:lang w:val="en-GB"/>
        </w:rPr>
        <w:t xml:space="preserve"> </w:t>
      </w:r>
      <w:r w:rsidR="0009770D" w:rsidRPr="0009770D">
        <w:rPr>
          <w:b/>
          <w:noProof/>
          <w:lang w:val="en-GB"/>
        </w:rPr>
        <w:t>3</w:t>
      </w:r>
      <w:r w:rsidR="0009770D">
        <w:rPr>
          <w:noProof/>
          <w:lang w:val="en-GB"/>
        </w:rPr>
        <w:t>, 958-964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2.</w:t>
      </w:r>
      <w:r>
        <w:rPr>
          <w:noProof/>
          <w:lang w:val="en-GB"/>
        </w:rPr>
        <w:tab/>
        <w:t xml:space="preserve">Craig, R. &amp; Beavis, R.C. TANDEM: matching proteins with tandem mass spectra. </w:t>
      </w:r>
      <w:r w:rsidRPr="0009770D">
        <w:rPr>
          <w:i/>
          <w:noProof/>
          <w:lang w:val="en-GB"/>
        </w:rPr>
        <w:t>Bioinformatics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20</w:t>
      </w:r>
      <w:r>
        <w:rPr>
          <w:noProof/>
          <w:lang w:val="en-GB"/>
        </w:rPr>
        <w:t>, 1466-1467 (2004).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  <w:r>
        <w:rPr>
          <w:noProof/>
          <w:lang w:val="en-GB"/>
        </w:rPr>
        <w:t>3.</w:t>
      </w:r>
      <w:r>
        <w:rPr>
          <w:noProof/>
          <w:lang w:val="en-GB"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09770D">
        <w:rPr>
          <w:i/>
          <w:noProof/>
          <w:lang w:val="en-GB"/>
        </w:rPr>
        <w:t>Proteomics</w:t>
      </w:r>
      <w:r>
        <w:rPr>
          <w:noProof/>
          <w:lang w:val="en-GB"/>
        </w:rPr>
        <w:t xml:space="preserve"> </w:t>
      </w:r>
      <w:r w:rsidRPr="0009770D">
        <w:rPr>
          <w:b/>
          <w:noProof/>
          <w:lang w:val="en-GB"/>
        </w:rPr>
        <w:t>11</w:t>
      </w:r>
      <w:r>
        <w:rPr>
          <w:noProof/>
          <w:lang w:val="en-GB"/>
        </w:rPr>
        <w:t>, 996-999 (2011).</w:t>
      </w:r>
    </w:p>
    <w:p w:rsidR="0009770D" w:rsidRDefault="0009770D" w:rsidP="0009770D">
      <w:pPr>
        <w:spacing w:after="0" w:line="240" w:lineRule="auto"/>
        <w:ind w:left="720" w:hanging="720"/>
        <w:rPr>
          <w:noProof/>
          <w:lang w:val="en-GB"/>
        </w:rPr>
      </w:pPr>
    </w:p>
    <w:p w:rsidR="002C4A56" w:rsidRPr="00072926" w:rsidRDefault="004A0328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3E4F" w:rsidRDefault="00A13E4F" w:rsidP="00C22471">
      <w:pPr>
        <w:spacing w:after="0" w:line="240" w:lineRule="auto"/>
      </w:pPr>
      <w:r>
        <w:separator/>
      </w:r>
    </w:p>
  </w:endnote>
  <w:endnote w:type="continuationSeparator" w:id="0">
    <w:p w:rsidR="00A13E4F" w:rsidRDefault="00A13E4F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4A0328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4A0328" w:rsidRPr="00EE5E45">
      <w:rPr>
        <w:b/>
      </w:rPr>
      <w:fldChar w:fldCharType="separate"/>
    </w:r>
    <w:r w:rsidR="005D15C7">
      <w:rPr>
        <w:b/>
        <w:noProof/>
      </w:rPr>
      <w:t>1</w:t>
    </w:r>
    <w:r w:rsidR="004A0328" w:rsidRPr="00EE5E45">
      <w:rPr>
        <w:b/>
      </w:rPr>
      <w:fldChar w:fldCharType="end"/>
    </w:r>
    <w:r w:rsidRPr="00EE5E45">
      <w:t xml:space="preserve"> of </w:t>
    </w:r>
    <w:r w:rsidR="004A0328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4A0328" w:rsidRPr="00EE5E45">
      <w:rPr>
        <w:b/>
      </w:rPr>
      <w:fldChar w:fldCharType="separate"/>
    </w:r>
    <w:r w:rsidR="005D15C7">
      <w:rPr>
        <w:b/>
        <w:noProof/>
      </w:rPr>
      <w:t>10</w:t>
    </w:r>
    <w:r w:rsidR="004A0328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3E4F" w:rsidRDefault="00A13E4F" w:rsidP="00C22471">
      <w:pPr>
        <w:spacing w:after="0" w:line="240" w:lineRule="auto"/>
      </w:pPr>
      <w:r>
        <w:separator/>
      </w:r>
    </w:p>
  </w:footnote>
  <w:footnote w:type="continuationSeparator" w:id="0">
    <w:p w:rsidR="00A13E4F" w:rsidRDefault="00A13E4F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3CA9"/>
    <w:rsid w:val="0033451B"/>
    <w:rsid w:val="003375DD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DC"/>
    <w:rsid w:val="00590524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51FB"/>
    <w:rsid w:val="00C9604E"/>
    <w:rsid w:val="00C97051"/>
    <w:rsid w:val="00CA0EFC"/>
    <w:rsid w:val="00CA1A2E"/>
    <w:rsid w:val="00CB0B0E"/>
    <w:rsid w:val="00CB4B06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"/>
    </o:shapedefaults>
    <o:shapelayout v:ext="edit">
      <o:idmap v:ext="edit" data="1"/>
      <o:rules v:ext="edit">
        <o:r id="V:Rule4" type="connector" idref="#Gerade Verbindung mit Pfeil 351"/>
        <o:r id="V:Rule5" type="connector" idref="#Gerade Verbindung mit Pfeil 349"/>
        <o:r id="V:Rule6" type="connector" idref="#Gerade Verbindung mit Pfeil 348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96B66-9D6A-4D92-BC5E-B69AAF629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10</Pages>
  <Words>1943</Words>
  <Characters>10301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12220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292</cp:revision>
  <cp:lastPrinted>2012-09-15T11:04:00Z</cp:lastPrinted>
  <dcterms:created xsi:type="dcterms:W3CDTF">2011-09-01T10:00:00Z</dcterms:created>
  <dcterms:modified xsi:type="dcterms:W3CDTF">2014-03-16T13:04:00Z</dcterms:modified>
</cp:coreProperties>
</file>