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r w:rsidR="007232D6">
        <w:rPr>
          <w:color w:val="1F497D" w:themeColor="text2"/>
          <w:lang w:val="en-GB"/>
        </w:rPr>
        <w:t>MSC</w:t>
      </w:r>
      <w:r w:rsidRPr="002E10B2">
        <w:rPr>
          <w:color w:val="1F497D" w:themeColor="text2"/>
          <w:lang w:val="en-GB"/>
        </w:rPr>
        <w:t>onvert</w:t>
      </w:r>
      <w:r>
        <w:rPr>
          <w:lang w:val="en-GB"/>
        </w:rPr>
        <w:t xml:space="preserve">, part of the </w:t>
      </w:r>
      <w:r w:rsidRPr="002E10B2">
        <w:rPr>
          <w:color w:val="1F497D" w:themeColor="text2"/>
          <w:lang w:val="en-GB"/>
        </w:rPr>
        <w:t>Proteowizard</w:t>
      </w:r>
      <w:hyperlink w:anchor="_ENREF_1" w:tooltip="Kessner, 2008 #14" w:history="1">
        <w:r w:rsidR="00FE19F1" w:rsidRPr="002E10B2">
          <w:rPr>
            <w:lang w:val="en-GB"/>
          </w:rPr>
          <w:fldChar w:fldCharType="begin"/>
        </w:r>
        <w:r w:rsidR="00CC1B0A"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FE19F1" w:rsidRPr="002E10B2">
          <w:rPr>
            <w:lang w:val="en-GB"/>
          </w:rPr>
          <w:fldChar w:fldCharType="separate"/>
        </w:r>
        <w:r w:rsidR="00CC1B0A" w:rsidRPr="002E10B2">
          <w:rPr>
            <w:noProof/>
            <w:vertAlign w:val="superscript"/>
            <w:lang w:val="en-GB"/>
          </w:rPr>
          <w:t>1</w:t>
        </w:r>
        <w:r w:rsidR="00FE19F1" w:rsidRPr="002E10B2">
          <w:rPr>
            <w:lang w:val="en-GB"/>
          </w:rPr>
          <w:fldChar w:fldCharType="end"/>
        </w:r>
      </w:hyperlink>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r w:rsidRPr="002E10B2">
        <w:rPr>
          <w:color w:val="1F497D" w:themeColor="text2"/>
          <w:lang w:val="en-GB"/>
        </w:rPr>
        <w:t>mzML</w:t>
      </w:r>
      <w:hyperlink w:anchor="_ENREF_2" w:tooltip="Martens, 2011 #13" w:history="1">
        <w:r w:rsidR="00FE19F1">
          <w:rPr>
            <w:b/>
            <w:lang w:val="en-GB"/>
          </w:rPr>
          <w:fldChar w:fldCharType="begin"/>
        </w:r>
        <w:r w:rsidR="00CC1B0A">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FE19F1">
          <w:rPr>
            <w:b/>
            <w:lang w:val="en-GB"/>
          </w:rPr>
          <w:fldChar w:fldCharType="separate"/>
        </w:r>
        <w:r w:rsidR="00CC1B0A" w:rsidRPr="00152D07">
          <w:rPr>
            <w:b/>
            <w:noProof/>
            <w:vertAlign w:val="superscript"/>
            <w:lang w:val="en-GB"/>
          </w:rPr>
          <w:t>2</w:t>
        </w:r>
        <w:r w:rsidR="00FE19F1">
          <w:rPr>
            <w:b/>
            <w:lang w:val="en-GB"/>
          </w:rPr>
          <w:fldChar w:fldCharType="end"/>
        </w:r>
      </w:hyperlink>
      <w:r w:rsidR="002D3F88" w:rsidRPr="002D3F88">
        <w:rPr>
          <w:lang w:val="en-GB"/>
        </w:rPr>
        <w:t>.</w:t>
      </w:r>
      <w:r w:rsidR="002D3F88">
        <w:rPr>
          <w:lang w:val="en-GB"/>
        </w:rPr>
        <w:t xml:space="preserve"> </w:t>
      </w:r>
      <w:r w:rsidR="007232D6">
        <w:rPr>
          <w:lang w:val="en-GB"/>
        </w:rPr>
        <w:t>An</w:t>
      </w:r>
      <w:r w:rsidR="002D3F88">
        <w:rPr>
          <w:lang w:val="en-GB"/>
        </w:rPr>
        <w:t xml:space="preserve"> mzML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mzML is the </w:t>
      </w:r>
      <w:r w:rsidR="002E10B2">
        <w:rPr>
          <w:lang w:val="en-GB"/>
        </w:rPr>
        <w:t>recommended</w:t>
      </w:r>
      <w:r>
        <w:rPr>
          <w:lang w:val="en-GB"/>
        </w:rPr>
        <w:t xml:space="preserve">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simler</w:t>
      </w:r>
      <w:r>
        <w:rPr>
          <w:lang w:val="en-GB"/>
        </w:rPr>
        <w:t xml:space="preserve"> </w:t>
      </w:r>
      <w:r w:rsidRPr="002E10B2">
        <w:rPr>
          <w:color w:val="1F497D" w:themeColor="text2"/>
          <w:lang w:val="en-GB"/>
        </w:rPr>
        <w:t xml:space="preserve">mgf </w:t>
      </w:r>
      <w:r>
        <w:rPr>
          <w:lang w:val="en-GB"/>
        </w:rPr>
        <w:t>format for spectrum identification</w:t>
      </w:r>
      <w:r w:rsidR="002D3F88">
        <w:rPr>
          <w:lang w:val="en-GB"/>
        </w:rPr>
        <w:t xml:space="preserve"> (mascot generic format,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mgf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FE19F1" w:rsidP="00676F34">
      <w:pPr>
        <w:jc w:val="center"/>
        <w:rPr>
          <w:lang w:val="en-GB"/>
        </w:rPr>
      </w:pPr>
      <w:r w:rsidRPr="00FE19F1">
        <w:rPr>
          <w:lang w:val="en-GB"/>
        </w:rPr>
      </w:r>
      <w:r w:rsidR="005B4292">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r w:rsidRPr="00471C8B">
                    <w:rPr>
                      <w:rFonts w:ascii="Calibri" w:eastAsia="+mn-ea" w:hAnsi="Calibri" w:cs="+mn-cs"/>
                      <w:color w:val="000000"/>
                      <w:kern w:val="24"/>
                      <w:sz w:val="22"/>
                      <w:szCs w:val="22"/>
                      <w:lang w:val="en-US"/>
                    </w:rPr>
                    <w:t>spectrum_title</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9137CB" w:rsidRDefault="00152D07" w:rsidP="00733E64">
      <w:pPr>
        <w:pStyle w:val="Title"/>
        <w:rPr>
          <w:sz w:val="44"/>
          <w:lang w:val="en-GB"/>
        </w:rPr>
      </w:pPr>
      <w:r w:rsidRPr="009137CB">
        <w:rPr>
          <w:sz w:val="44"/>
          <w:lang w:val="en-GB"/>
        </w:rPr>
        <w:lastRenderedPageBreak/>
        <w:t xml:space="preserve">Raw </w:t>
      </w:r>
      <w:r w:rsidR="005F23FA" w:rsidRPr="009137CB">
        <w:rPr>
          <w:sz w:val="44"/>
          <w:lang w:val="en-GB"/>
        </w:rPr>
        <w:t>Files C</w:t>
      </w:r>
      <w:r w:rsidRPr="009137CB">
        <w:rPr>
          <w:sz w:val="44"/>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Q Exactive</w:t>
      </w:r>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Proteowizard package,</w:t>
      </w:r>
      <w:r>
        <w:rPr>
          <w:lang w:val="en-GB"/>
        </w:rPr>
        <w:t xml:space="preserve"> you should see the </w:t>
      </w:r>
      <w:r w:rsidR="001C2A0D">
        <w:rPr>
          <w:color w:val="1F497D" w:themeColor="text2"/>
          <w:lang w:val="en-GB"/>
        </w:rPr>
        <w:t>MSC</w:t>
      </w:r>
      <w:r w:rsidRPr="002E10B2">
        <w:rPr>
          <w:color w:val="1F497D" w:themeColor="text2"/>
          <w:lang w:val="en-GB"/>
        </w:rPr>
        <w:t xml:space="preserve">onvert </w:t>
      </w:r>
      <w:r w:rsidR="001C2A0D">
        <w:rPr>
          <w:lang w:val="en-GB"/>
        </w:rPr>
        <w:t>Graphical</w:t>
      </w:r>
      <w:r>
        <w:rPr>
          <w:lang w:val="en-GB"/>
        </w:rPr>
        <w:t xml:space="preserve"> User Interface (GUI):</w:t>
      </w: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1223D9" w:rsidRDefault="001223D9" w:rsidP="001223D9">
      <w:pPr>
        <w:spacing w:after="0"/>
        <w:jc w:val="both"/>
        <w:rPr>
          <w:lang w:val="en-GB"/>
        </w:rPr>
      </w:pPr>
      <w:r>
        <w:rPr>
          <w:lang w:val="en-GB"/>
        </w:rPr>
        <w:lastRenderedPageBreak/>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MSConvert can process files in parallel very effectively. In the ‘Options’ panel, chose </w:t>
      </w:r>
      <w:r w:rsidRPr="001223D9">
        <w:rPr>
          <w:color w:val="4F6228" w:themeColor="accent3" w:themeShade="80"/>
          <w:lang w:val="en-GB"/>
        </w:rPr>
        <w:t>mgf</w:t>
      </w:r>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The data recorded by the Q Exactive is in so-called profile mode: spectra are a</w:t>
      </w:r>
      <w:r w:rsidR="00CC1B0A">
        <w:rPr>
          <w:lang w:val="en-GB"/>
        </w:rPr>
        <w:t xml:space="preserve"> continuous line of data points. This can be seen when zooming on the spectra as done here in </w:t>
      </w:r>
      <w:r w:rsidR="00CC1B0A" w:rsidRPr="00CC1B0A">
        <w:rPr>
          <w:color w:val="1F497D" w:themeColor="text2"/>
          <w:lang w:val="en-GB"/>
        </w:rPr>
        <w:t>jmzML viewer</w:t>
      </w:r>
      <w:hyperlink w:anchor="_ENREF_3" w:tooltip="Cote, 2010 #6" w:history="1">
        <w:r w:rsidR="00FE19F1">
          <w:rPr>
            <w:lang w:val="en-GB"/>
          </w:rPr>
          <w:fldChar w:fldCharType="begin"/>
        </w:r>
        <w:r w:rsidR="00CC1B0A">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FE19F1">
          <w:rPr>
            <w:lang w:val="en-GB"/>
          </w:rPr>
          <w:fldChar w:fldCharType="separate"/>
        </w:r>
        <w:r w:rsidR="00CC1B0A" w:rsidRPr="00CC1B0A">
          <w:rPr>
            <w:noProof/>
            <w:vertAlign w:val="superscript"/>
            <w:lang w:val="en-GB"/>
          </w:rPr>
          <w:t>3</w:t>
        </w:r>
        <w:r w:rsidR="00FE19F1">
          <w:rPr>
            <w:lang w:val="en-GB"/>
          </w:rPr>
          <w:fldChar w:fldCharType="end"/>
        </w:r>
      </w:hyperlink>
      <w:r w:rsidR="00CC1B0A">
        <w:rPr>
          <w:lang w:val="en-GB"/>
        </w:rPr>
        <w:t>:</w:t>
      </w:r>
    </w:p>
    <w:p w:rsidR="001223D9" w:rsidRDefault="001223D9" w:rsidP="001223D9">
      <w:pPr>
        <w:spacing w:after="0"/>
        <w:jc w:val="both"/>
        <w:rPr>
          <w:lang w:val="en-GB"/>
        </w:rPr>
      </w:pPr>
      <w:r>
        <w:rPr>
          <w:noProof/>
          <w:lang w:val="nb-NO" w:eastAsia="nb-NO"/>
        </w:rPr>
        <w:drawing>
          <wp:inline distT="0" distB="0" distL="0" distR="0">
            <wp:extent cx="5899150" cy="3454400"/>
            <wp:effectExtent l="57150" t="57150" r="101600" b="88900"/>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9150" cy="34544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1223D9" w:rsidRDefault="001223D9" w:rsidP="001223D9">
      <w:pPr>
        <w:spacing w:after="0"/>
        <w:jc w:val="both"/>
        <w:rPr>
          <w:lang w:val="en-GB"/>
        </w:rPr>
      </w:pPr>
      <w:r>
        <w:rPr>
          <w:lang w:val="en-GB"/>
        </w:rPr>
        <w:lastRenderedPageBreak/>
        <w:t xml:space="preserve">In order to reduce the amount of data to interpret, we will apply a peak-picker, a program which transforms the bell-shaped peaks into a single data point. 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48716B" w:rsidRDefault="0048716B"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8716B" w:rsidRDefault="0048716B" w:rsidP="001223D9">
      <w:pPr>
        <w:spacing w:after="0"/>
        <w:jc w:val="both"/>
        <w:rPr>
          <w:lang w:val="en-GB"/>
        </w:rPr>
      </w:pPr>
    </w:p>
    <w:p w:rsidR="0048716B" w:rsidRDefault="0048716B" w:rsidP="001223D9">
      <w:pPr>
        <w:spacing w:after="0"/>
        <w:jc w:val="both"/>
        <w:rPr>
          <w:i/>
          <w:lang w:val="en-GB"/>
        </w:rPr>
      </w:pPr>
      <w:r w:rsidRPr="0048716B">
        <w:rPr>
          <w:i/>
          <w:lang w:val="en-GB"/>
        </w:rPr>
        <w:t>How do you know whether or not you should apply a peak-picker?</w:t>
      </w:r>
    </w:p>
    <w:p w:rsidR="0048716B" w:rsidRDefault="0048716B" w:rsidP="0048716B">
      <w:pPr>
        <w:ind w:left="567"/>
        <w:jc w:val="both"/>
        <w:rPr>
          <w:i/>
          <w:color w:val="0000FF"/>
          <w:lang w:val="en-GB"/>
        </w:rPr>
      </w:pPr>
      <w:r>
        <w:rPr>
          <w:i/>
          <w:color w:val="0000FF"/>
          <w:lang w:val="en-GB"/>
        </w:rPr>
        <w:t xml:space="preserve">When programming the mass spectrometer, it will be indicated whether the spectra are recorded in profile mode (requiring peak picking) or in centroided mode (already peak picked). Depending on the instrument, using more advanced signal processing methods can </w:t>
      </w:r>
      <w:r w:rsidR="00B738E8">
        <w:rPr>
          <w:i/>
          <w:color w:val="0000FF"/>
          <w:lang w:val="en-GB"/>
        </w:rPr>
        <w:t>improve the results</w:t>
      </w:r>
      <w:r w:rsidR="006F4E37">
        <w:rPr>
          <w:i/>
          <w:color w:val="0000FF"/>
          <w:lang w:val="en-GB"/>
        </w:rPr>
        <w:t>.</w:t>
      </w:r>
      <w:hyperlink w:anchor="_ENREF_4" w:tooltip="Lange, 2006 #5" w:history="1">
        <w:r w:rsidR="00FE19F1">
          <w:rPr>
            <w:i/>
            <w:color w:val="0000FF"/>
            <w:lang w:val="en-GB"/>
          </w:rPr>
          <w:fldChar w:fldCharType="begin"/>
        </w:r>
        <w:r w:rsidR="00CC1B0A">
          <w:rPr>
            <w:i/>
            <w:color w:val="0000FF"/>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FE19F1">
          <w:rPr>
            <w:i/>
            <w:color w:val="0000FF"/>
            <w:lang w:val="en-GB"/>
          </w:rPr>
          <w:fldChar w:fldCharType="separate"/>
        </w:r>
        <w:r w:rsidR="00CC1B0A" w:rsidRPr="00CC1B0A">
          <w:rPr>
            <w:i/>
            <w:noProof/>
            <w:color w:val="0000FF"/>
            <w:vertAlign w:val="superscript"/>
            <w:lang w:val="en-GB"/>
          </w:rPr>
          <w:t>4</w:t>
        </w:r>
        <w:r w:rsidR="00FE19F1">
          <w:rPr>
            <w:i/>
            <w:color w:val="0000FF"/>
            <w:lang w:val="en-GB"/>
          </w:rPr>
          <w:fldChar w:fldCharType="end"/>
        </w:r>
      </w:hyperlink>
      <w:r>
        <w:rPr>
          <w:i/>
          <w:color w:val="0000FF"/>
          <w:lang w:val="en-GB"/>
        </w:rPr>
        <w:t xml:space="preserve"> Generally, it is always recommended to inspect the data </w:t>
      </w:r>
      <w:r w:rsidR="00B738E8">
        <w:rPr>
          <w:i/>
          <w:color w:val="0000FF"/>
          <w:lang w:val="en-GB"/>
        </w:rPr>
        <w:t xml:space="preserve">before processing </w:t>
      </w:r>
      <w:r>
        <w:rPr>
          <w:i/>
          <w:color w:val="0000FF"/>
          <w:lang w:val="en-GB"/>
        </w:rPr>
        <w:t>– making it clear whether it needs to be peak-picked – and in case of doubt consult the manufacturer’s instructions.</w:t>
      </w:r>
    </w:p>
    <w:p w:rsidR="0048716B" w:rsidRDefault="0048716B" w:rsidP="001223D9">
      <w:pPr>
        <w:spacing w:after="0"/>
        <w:jc w:val="both"/>
        <w:rPr>
          <w:i/>
          <w:lang w:val="en-GB"/>
        </w:rPr>
      </w:pPr>
    </w:p>
    <w:p w:rsidR="0048716B" w:rsidRPr="0048716B" w:rsidRDefault="0048716B" w:rsidP="001223D9">
      <w:pPr>
        <w:spacing w:after="0"/>
        <w:jc w:val="both"/>
        <w:rPr>
          <w:i/>
          <w:lang w:val="en-GB"/>
        </w:rPr>
      </w:pPr>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FE19F1" w:rsidP="00152D07">
      <w:pPr>
        <w:rPr>
          <w:lang w:val="en-GB"/>
        </w:rPr>
      </w:pPr>
      <w:r>
        <w:rPr>
          <w:noProof/>
          <w:lang w:val="nb-NO" w:eastAsia="nb-NO"/>
        </w:rPr>
        <w:pict>
          <v:shape id="_x0000_s1029" type="#_x0000_t202" style="position:absolute;margin-left:246.05pt;margin-top:190.85pt;width:125.5pt;height:148.75pt;z-index:251658240;mso-position-horizontal:right;mso-position-horizontal-relative:margin" fillcolor="#ffc">
            <v:textbox style="mso-next-textbox:#_x0000_s1029">
              <w:txbxContent>
                <w:p w:rsidR="004E26D2" w:rsidRPr="004D5164" w:rsidRDefault="004E26D2" w:rsidP="004E26D2">
                  <w:pPr>
                    <w:jc w:val="both"/>
                    <w:rPr>
                      <w:sz w:val="20"/>
                      <w:szCs w:val="20"/>
                    </w:rPr>
                  </w:pPr>
                  <w:r w:rsidRPr="004D5164">
                    <w:rPr>
                      <w:b/>
                      <w:sz w:val="20"/>
                      <w:szCs w:val="20"/>
                    </w:rPr>
                    <w:t>Tip:</w:t>
                  </w:r>
                  <w:r w:rsidRPr="004D5164">
                    <w:rPr>
                      <w:sz w:val="20"/>
                      <w:szCs w:val="20"/>
                    </w:rPr>
                    <w:br/>
                  </w:r>
                  <w:r>
                    <w:rPr>
                      <w:sz w:val="20"/>
                      <w:szCs w:val="20"/>
                    </w:rPr>
                    <w:t>Many files will be generated along the spectrum interpretation workflow. A good organization will let you gain a lot of time!</w:t>
                  </w:r>
                </w:p>
              </w:txbxContent>
            </v:textbox>
            <w10:wrap type="square" anchorx="margin"/>
          </v:shape>
        </w:pict>
      </w:r>
      <w:r w:rsidR="00152D07">
        <w:rPr>
          <w:lang w:val="en-GB"/>
        </w:rPr>
        <w:br w:type="page"/>
      </w:r>
      <w:bookmarkStart w:id="0" w:name="_GoBack"/>
      <w:bookmarkEnd w:id="0"/>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r w:rsidR="00FC285C" w:rsidRPr="002E10B2">
        <w:rPr>
          <w:color w:val="1F497D" w:themeColor="text2"/>
          <w:lang w:val="en-GB"/>
        </w:rPr>
        <w:t>OpenMS</w:t>
      </w:r>
      <w:hyperlink w:anchor="_ENREF_5" w:tooltip="Bertsch, 2011 #15" w:history="1">
        <w:r w:rsidR="00FE19F1">
          <w:rPr>
            <w:b/>
            <w:lang w:val="en-GB"/>
          </w:rPr>
          <w:fldChar w:fldCharType="begin"/>
        </w:r>
        <w:r w:rsidR="00CC1B0A">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FE19F1">
          <w:rPr>
            <w:b/>
            <w:lang w:val="en-GB"/>
          </w:rPr>
          <w:fldChar w:fldCharType="separate"/>
        </w:r>
        <w:r w:rsidR="00CC1B0A" w:rsidRPr="00CC1B0A">
          <w:rPr>
            <w:b/>
            <w:noProof/>
            <w:vertAlign w:val="superscript"/>
            <w:lang w:val="en-GB"/>
          </w:rPr>
          <w:t>5</w:t>
        </w:r>
        <w:r w:rsidR="00FE19F1">
          <w:rPr>
            <w:b/>
            <w:lang w:val="en-GB"/>
          </w:rPr>
          <w:fldChar w:fldCharType="end"/>
        </w:r>
      </w:hyperlink>
      <w:r w:rsidR="00FC285C">
        <w:rPr>
          <w:lang w:val="en-GB"/>
        </w:rPr>
        <w:t xml:space="preserve">. </w:t>
      </w:r>
      <w:r w:rsidR="00FC285C" w:rsidRPr="002E10B2">
        <w:rPr>
          <w:color w:val="1F497D" w:themeColor="text2"/>
          <w:lang w:val="en-GB"/>
        </w:rPr>
        <w:t>OpenMS</w:t>
      </w:r>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4"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for low resolution mass spectrometers, O</w:t>
      </w:r>
      <w:r>
        <w:rPr>
          <w:lang w:val="en-GB"/>
        </w:rPr>
        <w:t>penMS provides a Savitzky-Golay</w:t>
      </w:r>
      <w:hyperlink w:anchor="_ENREF_6" w:tooltip="Savitzky, 1964 #311" w:history="1">
        <w:r w:rsidR="00FE19F1">
          <w:rPr>
            <w:lang w:val="en-GB"/>
          </w:rPr>
          <w:fldChar w:fldCharType="begin"/>
        </w:r>
        <w:r w:rsidR="00CC1B0A">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FE19F1">
          <w:rPr>
            <w:lang w:val="en-GB"/>
          </w:rPr>
          <w:fldChar w:fldCharType="separate"/>
        </w:r>
        <w:r w:rsidR="00CC1B0A" w:rsidRPr="00CC1B0A">
          <w:rPr>
            <w:noProof/>
            <w:vertAlign w:val="superscript"/>
            <w:lang w:val="en-GB"/>
          </w:rPr>
          <w:t>6</w:t>
        </w:r>
        <w:r w:rsidR="00FE19F1">
          <w:rPr>
            <w:lang w:val="en-GB"/>
          </w:rPr>
          <w:fldChar w:fldCharType="end"/>
        </w:r>
      </w:hyperlink>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r w:rsidRPr="000745E2">
        <w:rPr>
          <w:lang w:val="en-GB"/>
        </w:rPr>
        <w:t xml:space="preserve">OpenMS provides two peak-pickers: a wavelet based peak-picker dedicated to low resolution mass spectrometers and a high resolution peak-picker for high resolution mass spectrometers. OpenMS peak-pickers are usually more efficient than </w:t>
      </w:r>
      <w:r>
        <w:rPr>
          <w:lang w:val="en-GB"/>
        </w:rPr>
        <w:t xml:space="preserve">the </w:t>
      </w:r>
      <w:r w:rsidRPr="000745E2">
        <w:rPr>
          <w:lang w:val="en-GB"/>
        </w:rPr>
        <w:t>vendor’s peak-pickers</w:t>
      </w:r>
      <w:r>
        <w:rPr>
          <w:lang w:val="en-GB"/>
        </w:rPr>
        <w:t>,</w:t>
      </w:r>
      <w:hyperlink w:anchor="_ENREF_4" w:tooltip="Lange, 2006 #5" w:history="1">
        <w:r w:rsidR="00FE19F1">
          <w:rPr>
            <w:lang w:val="en-GB"/>
          </w:rPr>
          <w:fldChar w:fldCharType="begin"/>
        </w:r>
        <w:r w:rsidR="00CC1B0A">
          <w:rPr>
            <w:lang w:val="en-GB"/>
          </w:rPr>
          <w:instrText xml:space="preserve"> ADDIN EN.CITE &lt;EndNote&gt;&lt;Cite&gt;&lt;Author&gt;Lange&lt;/Author&gt;&lt;Year&gt;2006&lt;/Year&gt;&lt;RecNum&gt;91&lt;/RecNum&gt;&lt;DisplayText&gt;&lt;style face="superscript"&gt;4&lt;/style&gt;&lt;/DisplayText&gt;&lt;record&gt;&lt;rec-number&gt;91&lt;/rec-number&gt;&lt;foreign-keys&gt;&lt;key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FE19F1">
          <w:rPr>
            <w:lang w:val="en-GB"/>
          </w:rPr>
          <w:fldChar w:fldCharType="separate"/>
        </w:r>
        <w:r w:rsidR="00CC1B0A" w:rsidRPr="00CC1B0A">
          <w:rPr>
            <w:noProof/>
            <w:vertAlign w:val="superscript"/>
            <w:lang w:val="en-GB"/>
          </w:rPr>
          <w:t>4</w:t>
        </w:r>
        <w:r w:rsidR="00FE19F1">
          <w:rPr>
            <w:lang w:val="en-GB"/>
          </w:rPr>
          <w:fldChar w:fldCharType="end"/>
        </w:r>
      </w:hyperlink>
      <w:r w:rsidRPr="000745E2">
        <w:rPr>
          <w:lang w:val="en-GB"/>
        </w:rPr>
        <w:t xml:space="preserve"> they are thus advised for quantitative studies</w:t>
      </w:r>
      <w:r>
        <w:rPr>
          <w:lang w:val="en-GB"/>
        </w:rPr>
        <w:t>.</w:t>
      </w:r>
      <w:hyperlink w:anchor="_ENREF_7" w:tooltip="Vaudel, 2010 #48" w:history="1">
        <w:r w:rsidR="00FE19F1" w:rsidRPr="000745E2">
          <w:rPr>
            <w:lang w:val="en-GB"/>
          </w:rPr>
          <w:fldChar w:fldCharType="begin"/>
        </w:r>
        <w:r w:rsidR="00CC1B0A">
          <w:rPr>
            <w:lang w:val="en-GB"/>
          </w:rPr>
          <w:instrText xml:space="preserve"> ADDIN EN.CITE &lt;EndNote&gt;&lt;Cite&gt;&lt;Author&gt;Vaudel&lt;/Author&gt;&lt;Year&gt;2010&lt;/Year&gt;&lt;RecNum&gt;48&lt;/RecNum&gt;&lt;DisplayText&gt;&lt;style face="superscript"&gt;7&lt;/style&gt;&lt;/DisplayText&gt;&lt;record&gt;&lt;rec-number&gt;48&lt;/rec-number&gt;&lt;foreign-keys&gt;&lt;key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FE19F1" w:rsidRPr="000745E2">
          <w:rPr>
            <w:lang w:val="en-GB"/>
          </w:rPr>
          <w:fldChar w:fldCharType="separate"/>
        </w:r>
        <w:r w:rsidR="00CC1B0A" w:rsidRPr="00CC1B0A">
          <w:rPr>
            <w:noProof/>
            <w:vertAlign w:val="superscript"/>
            <w:lang w:val="en-GB"/>
          </w:rPr>
          <w:t>7</w:t>
        </w:r>
        <w:r w:rsidR="00FE19F1"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r w:rsidRPr="002E10B2">
        <w:rPr>
          <w:color w:val="1F497D" w:themeColor="text2"/>
          <w:lang w:val="en-GB"/>
        </w:rPr>
        <w:t>TOPPview</w:t>
      </w:r>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8E7A4D" w:rsidRDefault="008E7A4D" w:rsidP="00686606">
      <w:pPr>
        <w:spacing w:after="0" w:line="240" w:lineRule="auto"/>
        <w:rPr>
          <w:lang w:val="en-GB"/>
        </w:rPr>
      </w:pPr>
    </w:p>
    <w:p w:rsidR="00CC1B0A" w:rsidRPr="00CC1B0A" w:rsidRDefault="00FE19F1" w:rsidP="00CC1B0A">
      <w:pPr>
        <w:spacing w:after="0" w:line="240" w:lineRule="auto"/>
        <w:ind w:left="720" w:hanging="720"/>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CC1B0A" w:rsidRPr="00CC1B0A">
        <w:rPr>
          <w:rFonts w:cs="Calibri"/>
          <w:noProof/>
          <w:lang w:val="en-GB"/>
        </w:rPr>
        <w:t>1.</w:t>
      </w:r>
      <w:r w:rsidR="00CC1B0A" w:rsidRPr="00CC1B0A">
        <w:rPr>
          <w:rFonts w:cs="Calibri"/>
          <w:noProof/>
          <w:lang w:val="en-GB"/>
        </w:rPr>
        <w:tab/>
        <w:t xml:space="preserve">Kessner, D., Chambers, M., Burke, R., Agus, D. &amp; Mallick, P. ProteoWizard: open source software for rapid proteomics tools development. </w:t>
      </w:r>
      <w:r w:rsidR="00CC1B0A" w:rsidRPr="00CC1B0A">
        <w:rPr>
          <w:rFonts w:cs="Calibri"/>
          <w:i/>
          <w:noProof/>
          <w:lang w:val="en-GB"/>
        </w:rPr>
        <w:t>Bioinformatics</w:t>
      </w:r>
      <w:r w:rsidR="00CC1B0A" w:rsidRPr="00CC1B0A">
        <w:rPr>
          <w:rFonts w:cs="Calibri"/>
          <w:noProof/>
          <w:lang w:val="en-GB"/>
        </w:rPr>
        <w:t xml:space="preserve"> </w:t>
      </w:r>
      <w:r w:rsidR="00CC1B0A" w:rsidRPr="00CC1B0A">
        <w:rPr>
          <w:rFonts w:cs="Calibri"/>
          <w:b/>
          <w:noProof/>
          <w:lang w:val="en-GB"/>
        </w:rPr>
        <w:t>24</w:t>
      </w:r>
      <w:r w:rsidR="00CC1B0A" w:rsidRPr="00CC1B0A">
        <w:rPr>
          <w:rFonts w:cs="Calibri"/>
          <w:noProof/>
          <w:lang w:val="en-GB"/>
        </w:rPr>
        <w:t>, 2534-2536 (2008).</w:t>
      </w:r>
      <w:bookmarkEnd w:id="1"/>
    </w:p>
    <w:p w:rsidR="00CC1B0A" w:rsidRPr="00CC1B0A" w:rsidRDefault="00CC1B0A" w:rsidP="00CC1B0A">
      <w:pPr>
        <w:spacing w:after="0" w:line="240" w:lineRule="auto"/>
        <w:ind w:left="720" w:hanging="720"/>
        <w:rPr>
          <w:rFonts w:cs="Calibri"/>
          <w:noProof/>
          <w:lang w:val="en-GB"/>
        </w:rPr>
      </w:pPr>
      <w:bookmarkStart w:id="2" w:name="_ENREF_2"/>
      <w:r w:rsidRPr="00CC1B0A">
        <w:rPr>
          <w:rFonts w:cs="Calibri"/>
          <w:noProof/>
          <w:lang w:val="en-GB"/>
        </w:rPr>
        <w:t>2.</w:t>
      </w:r>
      <w:r w:rsidRPr="00CC1B0A">
        <w:rPr>
          <w:rFonts w:cs="Calibri"/>
          <w:noProof/>
          <w:lang w:val="en-GB"/>
        </w:rPr>
        <w:tab/>
        <w:t xml:space="preserve">Martens, L. et al. mzML--a community standard for mass spectrometry data. </w:t>
      </w:r>
      <w:r w:rsidRPr="00CC1B0A">
        <w:rPr>
          <w:rFonts w:cs="Calibri"/>
          <w:i/>
          <w:noProof/>
          <w:lang w:val="en-GB"/>
        </w:rPr>
        <w:t>Mol Cell Proteomics</w:t>
      </w:r>
      <w:r w:rsidRPr="00CC1B0A">
        <w:rPr>
          <w:rFonts w:cs="Calibri"/>
          <w:noProof/>
          <w:lang w:val="en-GB"/>
        </w:rPr>
        <w:t xml:space="preserve"> </w:t>
      </w:r>
      <w:r w:rsidRPr="00CC1B0A">
        <w:rPr>
          <w:rFonts w:cs="Calibri"/>
          <w:b/>
          <w:noProof/>
          <w:lang w:val="en-GB"/>
        </w:rPr>
        <w:t>10</w:t>
      </w:r>
      <w:r w:rsidRPr="00CC1B0A">
        <w:rPr>
          <w:rFonts w:cs="Calibri"/>
          <w:noProof/>
          <w:lang w:val="en-GB"/>
        </w:rPr>
        <w:t>, R110 000133 (2011).</w:t>
      </w:r>
      <w:bookmarkEnd w:id="2"/>
    </w:p>
    <w:p w:rsidR="00CC1B0A" w:rsidRPr="00CC1B0A" w:rsidRDefault="00CC1B0A" w:rsidP="00CC1B0A">
      <w:pPr>
        <w:spacing w:after="0" w:line="240" w:lineRule="auto"/>
        <w:ind w:left="720" w:hanging="720"/>
        <w:rPr>
          <w:rFonts w:cs="Calibri"/>
          <w:noProof/>
          <w:lang w:val="en-GB"/>
        </w:rPr>
      </w:pPr>
      <w:bookmarkStart w:id="3" w:name="_ENREF_3"/>
      <w:r w:rsidRPr="00CC1B0A">
        <w:rPr>
          <w:rFonts w:cs="Calibri"/>
          <w:noProof/>
          <w:lang w:val="en-GB"/>
        </w:rPr>
        <w:t>3.</w:t>
      </w:r>
      <w:r w:rsidRPr="00CC1B0A">
        <w:rPr>
          <w:rFonts w:cs="Calibri"/>
          <w:noProof/>
          <w:lang w:val="en-GB"/>
        </w:rPr>
        <w:tab/>
        <w:t xml:space="preserve">Cote, R.G., Reisinger, F. &amp; Martens, L. jmzML, an open-source Java API for mzML, the PSI standard for MS data. </w:t>
      </w:r>
      <w:r w:rsidRPr="00CC1B0A">
        <w:rPr>
          <w:rFonts w:cs="Calibri"/>
          <w:i/>
          <w:noProof/>
          <w:lang w:val="en-GB"/>
        </w:rPr>
        <w:t>Proteomics</w:t>
      </w:r>
      <w:r w:rsidRPr="00CC1B0A">
        <w:rPr>
          <w:rFonts w:cs="Calibri"/>
          <w:noProof/>
          <w:lang w:val="en-GB"/>
        </w:rPr>
        <w:t xml:space="preserve"> </w:t>
      </w:r>
      <w:r w:rsidRPr="00CC1B0A">
        <w:rPr>
          <w:rFonts w:cs="Calibri"/>
          <w:b/>
          <w:noProof/>
          <w:lang w:val="en-GB"/>
        </w:rPr>
        <w:t>10</w:t>
      </w:r>
      <w:r w:rsidRPr="00CC1B0A">
        <w:rPr>
          <w:rFonts w:cs="Calibri"/>
          <w:noProof/>
          <w:lang w:val="en-GB"/>
        </w:rPr>
        <w:t>, 1332-1335 (2010).</w:t>
      </w:r>
      <w:bookmarkEnd w:id="3"/>
    </w:p>
    <w:p w:rsidR="00CC1B0A" w:rsidRPr="00CC1B0A" w:rsidRDefault="00CC1B0A" w:rsidP="00CC1B0A">
      <w:pPr>
        <w:spacing w:after="0" w:line="240" w:lineRule="auto"/>
        <w:ind w:left="720" w:hanging="720"/>
        <w:rPr>
          <w:rFonts w:cs="Calibri"/>
          <w:noProof/>
          <w:lang w:val="en-GB"/>
        </w:rPr>
      </w:pPr>
      <w:bookmarkStart w:id="4" w:name="_ENREF_4"/>
      <w:r w:rsidRPr="00CC1B0A">
        <w:rPr>
          <w:rFonts w:cs="Calibri"/>
          <w:noProof/>
          <w:lang w:val="en-GB"/>
        </w:rPr>
        <w:t>4.</w:t>
      </w:r>
      <w:r w:rsidRPr="00CC1B0A">
        <w:rPr>
          <w:rFonts w:cs="Calibri"/>
          <w:noProof/>
          <w:lang w:val="en-GB"/>
        </w:rPr>
        <w:tab/>
        <w:t xml:space="preserve">Lange, E., Gropl, C., Reinert, K., Kohlbacher, O. &amp; Hildebrandt, A. High-accuracy peak picking of proteomics data using wavelet techniques. </w:t>
      </w:r>
      <w:r w:rsidRPr="00CC1B0A">
        <w:rPr>
          <w:rFonts w:cs="Calibri"/>
          <w:i/>
          <w:noProof/>
          <w:lang w:val="en-GB"/>
        </w:rPr>
        <w:t>Pacific Symposium on Biocomputing. Pacific Symposium on Biocomputing</w:t>
      </w:r>
      <w:r w:rsidRPr="00CC1B0A">
        <w:rPr>
          <w:rFonts w:cs="Calibri"/>
          <w:noProof/>
          <w:lang w:val="en-GB"/>
        </w:rPr>
        <w:t>, 243-254 (2006).</w:t>
      </w:r>
      <w:bookmarkEnd w:id="4"/>
    </w:p>
    <w:p w:rsidR="00CC1B0A" w:rsidRPr="00CC1B0A" w:rsidRDefault="00CC1B0A" w:rsidP="00CC1B0A">
      <w:pPr>
        <w:spacing w:after="0" w:line="240" w:lineRule="auto"/>
        <w:ind w:left="720" w:hanging="720"/>
        <w:rPr>
          <w:rFonts w:cs="Calibri"/>
          <w:noProof/>
          <w:lang w:val="en-GB"/>
        </w:rPr>
      </w:pPr>
      <w:bookmarkStart w:id="5" w:name="_ENREF_5"/>
      <w:r w:rsidRPr="00CC1B0A">
        <w:rPr>
          <w:rFonts w:cs="Calibri"/>
          <w:noProof/>
          <w:lang w:val="en-GB"/>
        </w:rPr>
        <w:t>5.</w:t>
      </w:r>
      <w:r w:rsidRPr="00CC1B0A">
        <w:rPr>
          <w:rFonts w:cs="Calibri"/>
          <w:noProof/>
          <w:lang w:val="en-GB"/>
        </w:rPr>
        <w:tab/>
        <w:t xml:space="preserve">Bertsch, A., Gropl, C., Reinert, K. &amp; Kohlbacher, O. OpenMS and TOPP: open source software for LC-MS data analysis. </w:t>
      </w:r>
      <w:r w:rsidRPr="00CC1B0A">
        <w:rPr>
          <w:rFonts w:cs="Calibri"/>
          <w:i/>
          <w:noProof/>
          <w:lang w:val="en-GB"/>
        </w:rPr>
        <w:t>Methods Mol Biol</w:t>
      </w:r>
      <w:r w:rsidRPr="00CC1B0A">
        <w:rPr>
          <w:rFonts w:cs="Calibri"/>
          <w:noProof/>
          <w:lang w:val="en-GB"/>
        </w:rPr>
        <w:t xml:space="preserve"> </w:t>
      </w:r>
      <w:r w:rsidRPr="00CC1B0A">
        <w:rPr>
          <w:rFonts w:cs="Calibri"/>
          <w:b/>
          <w:noProof/>
          <w:lang w:val="en-GB"/>
        </w:rPr>
        <w:t>696</w:t>
      </w:r>
      <w:r w:rsidRPr="00CC1B0A">
        <w:rPr>
          <w:rFonts w:cs="Calibri"/>
          <w:noProof/>
          <w:lang w:val="en-GB"/>
        </w:rPr>
        <w:t>, 353-367 (2011).</w:t>
      </w:r>
      <w:bookmarkEnd w:id="5"/>
    </w:p>
    <w:p w:rsidR="00CC1B0A" w:rsidRPr="00CC1B0A" w:rsidRDefault="00CC1B0A" w:rsidP="00CC1B0A">
      <w:pPr>
        <w:spacing w:after="0" w:line="240" w:lineRule="auto"/>
        <w:ind w:left="720" w:hanging="720"/>
        <w:rPr>
          <w:rFonts w:cs="Calibri"/>
          <w:noProof/>
          <w:lang w:val="en-GB"/>
        </w:rPr>
      </w:pPr>
      <w:bookmarkStart w:id="6" w:name="_ENREF_6"/>
      <w:r w:rsidRPr="00CC1B0A">
        <w:rPr>
          <w:rFonts w:cs="Calibri"/>
          <w:noProof/>
          <w:lang w:val="en-GB"/>
        </w:rPr>
        <w:t>6.</w:t>
      </w:r>
      <w:r w:rsidRPr="00CC1B0A">
        <w:rPr>
          <w:rFonts w:cs="Calibri"/>
          <w:noProof/>
          <w:lang w:val="en-GB"/>
        </w:rPr>
        <w:tab/>
        <w:t xml:space="preserve">Savitzky, A. &amp; Golay, M.J.E. Smoothing and Differentiation of Data by Simplified Least Squares Procedures. </w:t>
      </w:r>
      <w:r w:rsidRPr="00CC1B0A">
        <w:rPr>
          <w:rFonts w:cs="Calibri"/>
          <w:i/>
          <w:noProof/>
          <w:lang w:val="en-GB"/>
        </w:rPr>
        <w:t>Analytical Chemistry</w:t>
      </w:r>
      <w:r w:rsidRPr="00CC1B0A">
        <w:rPr>
          <w:rFonts w:cs="Calibri"/>
          <w:noProof/>
          <w:lang w:val="en-GB"/>
        </w:rPr>
        <w:t xml:space="preserve"> </w:t>
      </w:r>
      <w:r w:rsidRPr="00CC1B0A">
        <w:rPr>
          <w:rFonts w:cs="Calibri"/>
          <w:b/>
          <w:noProof/>
          <w:lang w:val="en-GB"/>
        </w:rPr>
        <w:t>36</w:t>
      </w:r>
      <w:r w:rsidRPr="00CC1B0A">
        <w:rPr>
          <w:rFonts w:cs="Calibri"/>
          <w:noProof/>
          <w:lang w:val="en-GB"/>
        </w:rPr>
        <w:t>, 1627-1639 (1964).</w:t>
      </w:r>
      <w:bookmarkEnd w:id="6"/>
    </w:p>
    <w:p w:rsidR="00CC1B0A" w:rsidRPr="00CC1B0A" w:rsidRDefault="00CC1B0A" w:rsidP="00CC1B0A">
      <w:pPr>
        <w:spacing w:line="240" w:lineRule="auto"/>
        <w:ind w:left="720" w:hanging="720"/>
        <w:rPr>
          <w:rFonts w:cs="Calibri"/>
          <w:noProof/>
          <w:lang w:val="en-GB"/>
        </w:rPr>
      </w:pPr>
      <w:bookmarkStart w:id="7" w:name="_ENREF_7"/>
      <w:r w:rsidRPr="00CC1B0A">
        <w:rPr>
          <w:rFonts w:cs="Calibri"/>
          <w:noProof/>
          <w:lang w:val="en-GB"/>
        </w:rPr>
        <w:t>7.</w:t>
      </w:r>
      <w:r w:rsidRPr="00CC1B0A">
        <w:rPr>
          <w:rFonts w:cs="Calibri"/>
          <w:noProof/>
          <w:lang w:val="en-GB"/>
        </w:rPr>
        <w:tab/>
        <w:t xml:space="preserve">Vaudel, M., Sickmann, A. &amp; Martens, L. Peptide and protein quantification: a map of the minefield. </w:t>
      </w:r>
      <w:r w:rsidRPr="00CC1B0A">
        <w:rPr>
          <w:rFonts w:cs="Calibri"/>
          <w:i/>
          <w:noProof/>
          <w:lang w:val="en-GB"/>
        </w:rPr>
        <w:t>Proteomics</w:t>
      </w:r>
      <w:r w:rsidRPr="00CC1B0A">
        <w:rPr>
          <w:rFonts w:cs="Calibri"/>
          <w:noProof/>
          <w:lang w:val="en-GB"/>
        </w:rPr>
        <w:t xml:space="preserve"> </w:t>
      </w:r>
      <w:r w:rsidRPr="00CC1B0A">
        <w:rPr>
          <w:rFonts w:cs="Calibri"/>
          <w:b/>
          <w:noProof/>
          <w:lang w:val="en-GB"/>
        </w:rPr>
        <w:t>10</w:t>
      </w:r>
      <w:r w:rsidRPr="00CC1B0A">
        <w:rPr>
          <w:rFonts w:cs="Calibri"/>
          <w:noProof/>
          <w:lang w:val="en-GB"/>
        </w:rPr>
        <w:t>, 650-670 (2010).</w:t>
      </w:r>
      <w:bookmarkEnd w:id="7"/>
    </w:p>
    <w:p w:rsidR="00CC1B0A" w:rsidRDefault="00CC1B0A" w:rsidP="00CC1B0A">
      <w:pPr>
        <w:spacing w:line="240" w:lineRule="auto"/>
        <w:rPr>
          <w:rFonts w:cs="Calibri"/>
          <w:noProof/>
          <w:lang w:val="en-GB"/>
        </w:rPr>
      </w:pPr>
    </w:p>
    <w:p w:rsidR="002C4A56" w:rsidRPr="00152D07" w:rsidRDefault="00FE19F1"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6A7" w:rsidRDefault="004156A7" w:rsidP="00C22471">
      <w:pPr>
        <w:spacing w:after="0" w:line="240" w:lineRule="auto"/>
      </w:pPr>
      <w:r>
        <w:separator/>
      </w:r>
    </w:p>
  </w:endnote>
  <w:endnote w:type="continuationSeparator" w:id="0">
    <w:p w:rsidR="004156A7" w:rsidRDefault="004156A7"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DD0C71">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FE19F1" w:rsidRPr="00EE5E45">
      <w:rPr>
        <w:b/>
      </w:rPr>
      <w:fldChar w:fldCharType="begin"/>
    </w:r>
    <w:r w:rsidRPr="00EE5E45">
      <w:rPr>
        <w:b/>
      </w:rPr>
      <w:instrText xml:space="preserve"> PAGE </w:instrText>
    </w:r>
    <w:r w:rsidR="00FE19F1" w:rsidRPr="00EE5E45">
      <w:rPr>
        <w:b/>
      </w:rPr>
      <w:fldChar w:fldCharType="separate"/>
    </w:r>
    <w:r w:rsidR="005B4292">
      <w:rPr>
        <w:b/>
        <w:noProof/>
      </w:rPr>
      <w:t>8</w:t>
    </w:r>
    <w:r w:rsidR="00FE19F1" w:rsidRPr="00EE5E45">
      <w:rPr>
        <w:b/>
      </w:rPr>
      <w:fldChar w:fldCharType="end"/>
    </w:r>
    <w:r w:rsidRPr="00EE5E45">
      <w:t xml:space="preserve"> of </w:t>
    </w:r>
    <w:r w:rsidR="00FE19F1" w:rsidRPr="00EE5E45">
      <w:rPr>
        <w:b/>
      </w:rPr>
      <w:fldChar w:fldCharType="begin"/>
    </w:r>
    <w:r w:rsidRPr="00EE5E45">
      <w:rPr>
        <w:b/>
      </w:rPr>
      <w:instrText xml:space="preserve"> NUMPAGES  </w:instrText>
    </w:r>
    <w:r w:rsidR="00FE19F1" w:rsidRPr="00EE5E45">
      <w:rPr>
        <w:b/>
      </w:rPr>
      <w:fldChar w:fldCharType="separate"/>
    </w:r>
    <w:r w:rsidR="005B4292">
      <w:rPr>
        <w:b/>
        <w:noProof/>
      </w:rPr>
      <w:t>8</w:t>
    </w:r>
    <w:r w:rsidR="00FE19F1"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6A7" w:rsidRDefault="004156A7" w:rsidP="00C22471">
      <w:pPr>
        <w:spacing w:after="0" w:line="240" w:lineRule="auto"/>
      </w:pPr>
      <w:r>
        <w:separator/>
      </w:r>
    </w:p>
  </w:footnote>
  <w:footnote w:type="continuationSeparator" w:id="0">
    <w:p w:rsidR="004156A7" w:rsidRDefault="004156A7"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2BC7"/>
    <w:rsid w:val="00E24E96"/>
    <w:rsid w:val="00E26156"/>
    <w:rsid w:val="00E3069C"/>
    <w:rsid w:val="00E30C1D"/>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B1368-220F-44D7-A762-128E6BC2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3072</Words>
  <Characters>16285</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19319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127</cp:revision>
  <cp:lastPrinted>2012-09-14T15:22:00Z</cp:lastPrinted>
  <dcterms:created xsi:type="dcterms:W3CDTF">2011-09-01T10:00:00Z</dcterms:created>
  <dcterms:modified xsi:type="dcterms:W3CDTF">2013-06-06T20:35:00Z</dcterms:modified>
</cp:coreProperties>
</file>