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r w:rsidR="00A815DB">
        <w:rPr>
          <w:lang w:val="en-GB"/>
        </w:rPr>
        <w:fldChar w:fldCharType="begin"/>
      </w:r>
      <w:r w:rsidR="00A815DB">
        <w:rPr>
          <w:lang w:val="en-GB"/>
        </w:rPr>
        <w:instrText xml:space="preserve"> ADDIN EN.CITE &lt;EndNote&gt;&lt;Cite&gt;&lt;Author&gt;Vizcaino&lt;/Author&gt;&lt;Year&gt;2009&lt;/Year&gt;&lt;RecNum&gt;393&lt;/RecNum&gt;&lt;record&gt;&lt;rec-number&gt;393&lt;/rec-number&gt;&lt;foreign-keys&gt;&lt;key app="EN" db-id="wsxvrwestxpfw9e2re6pzxdopvfd2pfwxadz"&gt;393&lt;/key&gt;&lt;/foreign-keys&gt;&lt;ref-type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entrez/query.fcgi?cmd=Retrieve&amp;amp;db=PubMed&amp;amp;dopt=Citation&amp;amp;list_uids=21136933&lt;/url&gt;&lt;/related-urls&gt;&lt;/urls&gt;&lt;electronic-resource-num&gt;10.1002/prca.200800082&lt;/electronic-resource-num&gt;&lt;language&gt;eng&lt;/language&gt;&lt;/record&gt;&lt;/Cite&gt;&lt;/EndNote&gt;</w:instrText>
      </w:r>
      <w:r w:rsidR="00A815DB">
        <w:rPr>
          <w:lang w:val="en-GB"/>
        </w:rPr>
        <w:fldChar w:fldCharType="separate"/>
      </w:r>
      <w:r w:rsidR="00A815DB" w:rsidRPr="00A815DB">
        <w:rPr>
          <w:noProof/>
          <w:vertAlign w:val="superscript"/>
          <w:lang w:val="en-GB"/>
        </w:rPr>
        <w:t>3</w:t>
      </w:r>
      <w:r w:rsidR="00A815DB">
        <w:rPr>
          <w:lang w:val="en-GB"/>
        </w:rPr>
        <w:fldChar w:fldCharType="end"/>
      </w:r>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4292214" cy="3031148"/>
            <wp:effectExtent l="57150" t="19050" r="108336" b="74002"/>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6543" cy="303420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5A767E" w:rsidRDefault="007860A8"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5A767E" w:rsidP="00D22D8D">
                  <w:pPr>
                    <w:jc w:val="both"/>
                    <w:rPr>
                      <w:sz w:val="20"/>
                      <w:szCs w:val="20"/>
                    </w:rPr>
                  </w:pPr>
                  <w:r>
                    <w:rPr>
                      <w:b/>
                      <w:sz w:val="20"/>
                      <w:szCs w:val="20"/>
                    </w:rPr>
                    <w:t>Note</w:t>
                  </w:r>
                  <w:r w:rsidR="00D22D8D" w:rsidRPr="001B1D74">
                    <w:rPr>
                      <w:b/>
                      <w:sz w:val="20"/>
                      <w:szCs w:val="20"/>
                    </w:rPr>
                    <w:t>:</w:t>
                  </w:r>
                  <w:r w:rsidR="00D22D8D" w:rsidRPr="001B1D74">
                    <w:rPr>
                      <w:sz w:val="20"/>
                      <w:szCs w:val="20"/>
                    </w:rPr>
                    <w:br/>
                  </w:r>
                  <w:r>
                    <w:rPr>
                      <w:i/>
                      <w:lang w:val="en-GB"/>
                    </w:rPr>
                    <w:t xml:space="preserve">The quality of the annotation data should always be considered carefully! </w:t>
                  </w:r>
                  <w:r w:rsidR="00FB714D">
                    <w:rPr>
                      <w:i/>
                      <w:lang w:val="en-GB"/>
                    </w:rPr>
                    <w:t>See for example</w:t>
                  </w:r>
                  <w:r w:rsidR="00A815DB">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A815DB">
                    <w:rPr>
                      <w:i/>
                      <w:lang w:val="en-GB"/>
                    </w:rPr>
                    <w:instrText xml:space="preserve"> ADDIN EN.CITE </w:instrText>
                  </w:r>
                  <w:r w:rsidR="00A815DB">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A815DB">
                    <w:rPr>
                      <w:i/>
                      <w:lang w:val="en-GB"/>
                    </w:rPr>
                    <w:instrText xml:space="preserve"> ADDIN EN.CITE.DATA </w:instrText>
                  </w:r>
                  <w:r w:rsidR="00A815DB">
                    <w:rPr>
                      <w:i/>
                      <w:lang w:val="en-GB"/>
                    </w:rPr>
                  </w:r>
                  <w:r w:rsidR="00A815DB">
                    <w:rPr>
                      <w:i/>
                      <w:lang w:val="en-GB"/>
                    </w:rPr>
                    <w:fldChar w:fldCharType="end"/>
                  </w:r>
                  <w:r w:rsidR="00A815DB">
                    <w:rPr>
                      <w:i/>
                      <w:lang w:val="en-GB"/>
                    </w:rPr>
                    <w:fldChar w:fldCharType="separate"/>
                  </w:r>
                  <w:r w:rsidR="00A815DB" w:rsidRPr="00A815DB">
                    <w:rPr>
                      <w:i/>
                      <w:noProof/>
                      <w:vertAlign w:val="superscript"/>
                      <w:lang w:val="en-GB"/>
                    </w:rPr>
                    <w:t>1-2</w:t>
                  </w:r>
                  <w:r w:rsidR="00A815DB">
                    <w:rPr>
                      <w:i/>
                      <w:lang w:val="en-GB"/>
                    </w:rPr>
                    <w:fldChar w:fldCharType="end"/>
                  </w:r>
                  <w:r>
                    <w:rPr>
                      <w:i/>
                      <w:lang w:val="en-GB"/>
                    </w:rPr>
                    <w:t>.</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5A767E" w:rsidRDefault="005A767E">
      <w:pPr>
        <w:spacing w:after="0" w:line="240" w:lineRule="auto"/>
        <w:rPr>
          <w:lang w:val="en-GB"/>
        </w:rPr>
      </w:pPr>
    </w:p>
    <w:p w:rsidR="005A767E" w:rsidRDefault="005A767E">
      <w:pPr>
        <w:spacing w:after="0" w:line="240" w:lineRule="auto"/>
        <w:rPr>
          <w:lang w:val="en-GB"/>
        </w:rPr>
      </w:pPr>
      <w:r>
        <w:rPr>
          <w:noProof/>
          <w:lang w:val="nb-NO" w:eastAsia="nb-NO"/>
        </w:rPr>
        <w:pict>
          <v:shape id="_x0000_s1048" type="#_x0000_t202" style="position:absolute;margin-left:.65pt;margin-top:.5pt;width:466.65pt;height:47.1pt;z-index:251663360;mso-position-horizontal-relative:margin" fillcolor="#ffc">
            <v:textbox style="mso-next-textbox:#_x0000_s1048">
              <w:txbxContent>
                <w:p w:rsidR="005A767E" w:rsidRPr="008D03AC" w:rsidRDefault="005A767E" w:rsidP="005A767E">
                  <w:pPr>
                    <w:jc w:val="both"/>
                    <w:rPr>
                      <w:sz w:val="20"/>
                      <w:szCs w:val="20"/>
                    </w:rPr>
                  </w:pPr>
                  <w:r w:rsidRPr="008D03AC">
                    <w:rPr>
                      <w:b/>
                      <w:sz w:val="20"/>
                      <w:szCs w:val="20"/>
                    </w:rPr>
                    <w:t>Tip:</w:t>
                  </w:r>
                  <w:r w:rsidRPr="008D03AC">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Pr>
          <w:lang w:val="en-GB"/>
        </w:rPr>
        <w:br w:type="page"/>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5B22B4">
        <w:rPr>
          <w:lang w:val="en-GB"/>
        </w:rPr>
        <w:t>1211</w:t>
      </w:r>
      <w:r>
        <w:rPr>
          <w:lang w:val="en-GB"/>
        </w:rPr>
        <w:t xml:space="preserve"> proteins validated at 1% FDR: </w:t>
      </w:r>
    </w:p>
    <w:p w:rsidR="0068048F" w:rsidRDefault="0068048F" w:rsidP="00F44765">
      <w:pPr>
        <w:rPr>
          <w:lang w:val="en-GB"/>
        </w:rPr>
      </w:pPr>
    </w:p>
    <w:p w:rsidR="00794652" w:rsidRDefault="005B22B4" w:rsidP="00476321">
      <w:pPr>
        <w:jc w:val="center"/>
        <w:rPr>
          <w:lang w:val="en-GB"/>
        </w:rPr>
      </w:pPr>
      <w:r>
        <w:rPr>
          <w:noProof/>
          <w:lang w:val="nb-NO" w:eastAsia="nb-NO"/>
        </w:rPr>
        <w:drawing>
          <wp:inline distT="0" distB="0" distL="0" distR="0">
            <wp:extent cx="5943600" cy="3591957"/>
            <wp:effectExtent l="57150" t="19050" r="114300" b="8469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7860A8"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7860A8">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7860A8">
          <w:rPr>
            <w:lang w:val="en-GB"/>
          </w:rPr>
        </w:r>
        <w:r w:rsidR="007860A8">
          <w:rPr>
            <w:lang w:val="en-GB"/>
          </w:rPr>
          <w:fldChar w:fldCharType="end"/>
        </w:r>
        <w:r w:rsidR="007860A8" w:rsidRPr="008E597C">
          <w:rPr>
            <w:lang w:val="en-GB"/>
          </w:rPr>
        </w:r>
        <w:r w:rsidR="007860A8" w:rsidRPr="008E597C">
          <w:rPr>
            <w:lang w:val="en-GB"/>
          </w:rPr>
          <w:fldChar w:fldCharType="separate"/>
        </w:r>
        <w:r w:rsidR="00A815DB" w:rsidRPr="00A815DB">
          <w:rPr>
            <w:noProof/>
            <w:vertAlign w:val="superscript"/>
            <w:lang w:val="en-GB"/>
          </w:rPr>
          <w:t>4</w:t>
        </w:r>
        <w:r w:rsidR="007860A8"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7860A8">
        <w:fldChar w:fldCharType="begin"/>
      </w:r>
      <w:r w:rsidR="004C3FAC">
        <w:instrText>HYPERLINK \l "_ENREF_3" \o "Hubbard, 2002 #2"</w:instrText>
      </w:r>
      <w:r w:rsidR="007860A8">
        <w:fldChar w:fldCharType="separate"/>
      </w:r>
      <w:r w:rsidR="007860A8">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7860A8">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7860A8">
        <w:rPr>
          <w:lang w:val="en-GB"/>
        </w:rPr>
      </w:r>
      <w:r w:rsidR="007860A8">
        <w:rPr>
          <w:lang w:val="en-GB"/>
        </w:rPr>
        <w:fldChar w:fldCharType="end"/>
      </w:r>
      <w:r w:rsidR="007860A8">
        <w:rPr>
          <w:lang w:val="en-GB"/>
        </w:rPr>
      </w:r>
      <w:r w:rsidR="007860A8">
        <w:rPr>
          <w:lang w:val="en-GB"/>
        </w:rPr>
        <w:fldChar w:fldCharType="separate"/>
      </w:r>
      <w:r w:rsidR="00A815DB" w:rsidRPr="00A815DB">
        <w:rPr>
          <w:noProof/>
          <w:vertAlign w:val="superscript"/>
          <w:lang w:val="en-GB"/>
        </w:rPr>
        <w:t>5</w:t>
      </w:r>
      <w:r w:rsidR="007860A8">
        <w:rPr>
          <w:lang w:val="en-GB"/>
        </w:rPr>
        <w:fldChar w:fldCharType="end"/>
      </w:r>
      <w:r w:rsidR="007860A8">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3D6DA9">
        <w:rPr>
          <w:lang w:val="en-GB"/>
        </w:rPr>
        <w:t>ference problem tackled in the Identification</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7860A8">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7860A8">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7860A8">
          <w:rPr>
            <w:color w:val="1F497D" w:themeColor="text2"/>
            <w:lang w:val="en-GB"/>
          </w:rPr>
        </w:r>
        <w:r w:rsidR="007860A8">
          <w:rPr>
            <w:color w:val="1F497D" w:themeColor="text2"/>
            <w:lang w:val="en-GB"/>
          </w:rPr>
          <w:fldChar w:fldCharType="end"/>
        </w:r>
        <w:r w:rsidR="007860A8">
          <w:rPr>
            <w:color w:val="1F497D" w:themeColor="text2"/>
            <w:lang w:val="en-GB"/>
          </w:rPr>
        </w:r>
        <w:r w:rsidR="007860A8">
          <w:rPr>
            <w:color w:val="1F497D" w:themeColor="text2"/>
            <w:lang w:val="en-GB"/>
          </w:rPr>
          <w:fldChar w:fldCharType="separate"/>
        </w:r>
        <w:r w:rsidR="00A815DB" w:rsidRPr="00A815DB">
          <w:rPr>
            <w:noProof/>
            <w:color w:val="1F497D" w:themeColor="text2"/>
            <w:vertAlign w:val="superscript"/>
            <w:lang w:val="en-GB"/>
          </w:rPr>
          <w:t>6</w:t>
        </w:r>
        <w:r w:rsidR="007860A8">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7860A8"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w:t>
                  </w:r>
                  <w:r w:rsidR="0092395C">
                    <w:rPr>
                      <w:i/>
                      <w:lang w:val="en-GB"/>
                    </w:rPr>
                    <w:t>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7860A8">
        <w:fldChar w:fldCharType="begin"/>
      </w:r>
      <w:r w:rsidR="004C3FAC">
        <w:instrText>HYPERLINK \l "_ENREF_5" \o "Jones, 2005 #81"</w:instrText>
      </w:r>
      <w:r w:rsidR="007860A8">
        <w:fldChar w:fldCharType="separate"/>
      </w:r>
      <w:r w:rsidR="007860A8">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7860A8">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7860A8">
        <w:rPr>
          <w:lang w:val="en-GB"/>
        </w:rPr>
      </w:r>
      <w:r w:rsidR="007860A8">
        <w:rPr>
          <w:lang w:val="en-GB"/>
        </w:rPr>
        <w:fldChar w:fldCharType="end"/>
      </w:r>
      <w:r w:rsidR="007860A8">
        <w:rPr>
          <w:lang w:val="en-GB"/>
        </w:rPr>
      </w:r>
      <w:r w:rsidR="007860A8">
        <w:rPr>
          <w:lang w:val="en-GB"/>
        </w:rPr>
        <w:fldChar w:fldCharType="separate"/>
      </w:r>
      <w:r w:rsidR="00A815DB" w:rsidRPr="00A815DB">
        <w:rPr>
          <w:noProof/>
          <w:vertAlign w:val="superscript"/>
          <w:lang w:val="en-GB"/>
        </w:rPr>
        <w:t>7</w:t>
      </w:r>
      <w:r w:rsidR="007860A8">
        <w:rPr>
          <w:lang w:val="en-GB"/>
        </w:rPr>
        <w:fldChar w:fldCharType="end"/>
      </w:r>
      <w:r w:rsidR="007860A8">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7860A8">
        <w:fldChar w:fldCharType="begin"/>
      </w:r>
      <w:r w:rsidR="004C3FAC">
        <w:instrText>HYPERLINK \l "_ENREF_6" \o "Haw, 2011 #3"</w:instrText>
      </w:r>
      <w:r w:rsidR="007860A8">
        <w:fldChar w:fldCharType="separate"/>
      </w:r>
      <w:r w:rsidR="007860A8">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7860A8">
        <w:rPr>
          <w:color w:val="1F497D" w:themeColor="text2"/>
          <w:lang w:val="en-GB"/>
        </w:rPr>
        <w:fldChar w:fldCharType="separate"/>
      </w:r>
      <w:r w:rsidR="00A815DB" w:rsidRPr="00A815DB">
        <w:rPr>
          <w:noProof/>
          <w:color w:val="1F497D" w:themeColor="text2"/>
          <w:vertAlign w:val="superscript"/>
          <w:lang w:val="en-GB"/>
        </w:rPr>
        <w:t>8</w:t>
      </w:r>
      <w:r w:rsidR="007860A8">
        <w:rPr>
          <w:color w:val="1F497D" w:themeColor="text2"/>
          <w:lang w:val="en-GB"/>
        </w:rPr>
        <w:fldChar w:fldCharType="end"/>
      </w:r>
      <w:r w:rsidR="007860A8">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7860A8"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you should see the following table</w:t>
      </w:r>
      <w:r w:rsidR="00CA566B">
        <w:rPr>
          <w:lang w:val="en-GB"/>
        </w:rPr>
        <w:t>, where you can see how many of your proteins mapped to the different pathways</w:t>
      </w:r>
      <w:r>
        <w:rPr>
          <w:lang w:val="en-GB"/>
        </w:rPr>
        <w:t>:</w:t>
      </w:r>
    </w:p>
    <w:p w:rsidR="00F52E2E" w:rsidRPr="00F05AAA" w:rsidRDefault="00F52E2E" w:rsidP="00CD66C2">
      <w:pPr>
        <w:jc w:val="both"/>
        <w:rPr>
          <w:sz w:val="6"/>
          <w:lang w:val="en-GB"/>
        </w:rPr>
      </w:pPr>
    </w:p>
    <w:p w:rsidR="00E92709" w:rsidRDefault="00712767" w:rsidP="00D66CB9">
      <w:pPr>
        <w:jc w:val="center"/>
        <w:rPr>
          <w:noProof/>
          <w:color w:val="FF0000"/>
          <w:lang w:eastAsia="de-DE"/>
        </w:rPr>
      </w:pPr>
      <w:r>
        <w:rPr>
          <w:noProof/>
          <w:color w:val="FF0000"/>
          <w:lang w:val="nb-NO" w:eastAsia="nb-NO"/>
        </w:rPr>
        <w:drawing>
          <wp:inline distT="0" distB="0" distL="0" distR="0">
            <wp:extent cx="5638800" cy="2953322"/>
            <wp:effectExtent l="57150" t="19050" r="114300" b="75628"/>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38800" cy="2953322"/>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Pr="009F2930" w:rsidRDefault="00525FBD" w:rsidP="00525FBD">
      <w:pPr>
        <w:pStyle w:val="Title"/>
        <w:numPr>
          <w:ilvl w:val="0"/>
          <w:numId w:val="10"/>
        </w:numPr>
        <w:ind w:left="0" w:firstLine="0"/>
        <w:rPr>
          <w:lang w:val="en-GB"/>
        </w:rPr>
      </w:pPr>
      <w:r>
        <w:rPr>
          <w:lang w:val="en-GB"/>
        </w:rPr>
        <w:lastRenderedPageBreak/>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C50303" w:rsidP="00525FBD">
      <w:pPr>
        <w:jc w:val="center"/>
        <w:rPr>
          <w:lang w:val="en-GB"/>
        </w:rPr>
      </w:pPr>
      <w:r>
        <w:rPr>
          <w:noProof/>
          <w:lang w:val="nb-NO" w:eastAsia="nb-NO"/>
        </w:rPr>
        <w:drawing>
          <wp:inline distT="0" distB="0" distL="0" distR="0">
            <wp:extent cx="5194935" cy="3140393"/>
            <wp:effectExtent l="57150" t="19050" r="120015" b="79057"/>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194935" cy="314039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A815DB" w:rsidRDefault="007860A8" w:rsidP="00A815DB">
      <w:pPr>
        <w:spacing w:after="0" w:line="240" w:lineRule="auto"/>
        <w:ind w:left="720" w:hanging="720"/>
        <w:rPr>
          <w:noProof/>
          <w:lang w:val="en-GB"/>
        </w:rPr>
      </w:pPr>
      <w:r>
        <w:rPr>
          <w:lang w:val="en-GB"/>
        </w:rPr>
        <w:fldChar w:fldCharType="begin"/>
      </w:r>
      <w:r w:rsidR="00072926">
        <w:rPr>
          <w:lang w:val="en-GB"/>
        </w:rPr>
        <w:instrText xml:space="preserve"> ADDIN EN.REFLIST </w:instrText>
      </w:r>
      <w:r>
        <w:rPr>
          <w:lang w:val="en-GB"/>
        </w:rPr>
        <w:fldChar w:fldCharType="separate"/>
      </w:r>
      <w:r w:rsidR="00A815DB">
        <w:rPr>
          <w:noProof/>
          <w:lang w:val="en-GB"/>
        </w:rPr>
        <w:t>1.</w:t>
      </w:r>
      <w:r w:rsidR="00A815DB">
        <w:rPr>
          <w:noProof/>
          <w:lang w:val="en-GB"/>
        </w:rPr>
        <w:tab/>
        <w:t xml:space="preserve">Khatri, P., Sirota, M. &amp; Butte, A.J. Ten years of pathway analysis: current approaches and outstanding challenges. </w:t>
      </w:r>
      <w:r w:rsidR="00A815DB" w:rsidRPr="00A815DB">
        <w:rPr>
          <w:i/>
          <w:noProof/>
          <w:lang w:val="en-GB"/>
        </w:rPr>
        <w:t>PLoS Comput Biol</w:t>
      </w:r>
      <w:r w:rsidR="00A815DB">
        <w:rPr>
          <w:noProof/>
          <w:lang w:val="en-GB"/>
        </w:rPr>
        <w:t xml:space="preserve"> </w:t>
      </w:r>
      <w:r w:rsidR="00A815DB" w:rsidRPr="00A815DB">
        <w:rPr>
          <w:b/>
          <w:noProof/>
          <w:lang w:val="en-GB"/>
        </w:rPr>
        <w:t>8</w:t>
      </w:r>
      <w:r w:rsidR="00A815DB">
        <w:rPr>
          <w:noProof/>
          <w:lang w:val="en-GB"/>
        </w:rPr>
        <w:t>, e1002375 (2012).</w:t>
      </w:r>
    </w:p>
    <w:p w:rsidR="00A815DB" w:rsidRDefault="00A815DB" w:rsidP="00A815DB">
      <w:pPr>
        <w:spacing w:after="0" w:line="240" w:lineRule="auto"/>
        <w:ind w:left="720" w:hanging="720"/>
        <w:rPr>
          <w:noProof/>
          <w:lang w:val="en-GB"/>
        </w:rPr>
      </w:pPr>
      <w:r>
        <w:rPr>
          <w:noProof/>
          <w:lang w:val="en-GB"/>
        </w:rPr>
        <w:t>2.</w:t>
      </w:r>
      <w:r>
        <w:rPr>
          <w:noProof/>
          <w:lang w:val="en-GB"/>
        </w:rPr>
        <w:tab/>
        <w:t xml:space="preserve">Muller, T. et al. Sense and nonsense of pathway analysis software in proteomics. </w:t>
      </w:r>
      <w:r w:rsidRPr="00A815DB">
        <w:rPr>
          <w:i/>
          <w:noProof/>
          <w:lang w:val="en-GB"/>
        </w:rPr>
        <w:t>J Proteome Res</w:t>
      </w:r>
      <w:r>
        <w:rPr>
          <w:noProof/>
          <w:lang w:val="en-GB"/>
        </w:rPr>
        <w:t xml:space="preserve"> </w:t>
      </w:r>
      <w:r w:rsidRPr="00A815DB">
        <w:rPr>
          <w:b/>
          <w:noProof/>
          <w:lang w:val="en-GB"/>
        </w:rPr>
        <w:t>10</w:t>
      </w:r>
      <w:r>
        <w:rPr>
          <w:noProof/>
          <w:lang w:val="en-GB"/>
        </w:rPr>
        <w:t>, 5398-5408 (2011).</w:t>
      </w:r>
    </w:p>
    <w:p w:rsidR="00A815DB" w:rsidRDefault="00A815DB" w:rsidP="00A815DB">
      <w:pPr>
        <w:spacing w:after="0" w:line="240" w:lineRule="auto"/>
        <w:ind w:left="720" w:hanging="720"/>
        <w:rPr>
          <w:noProof/>
          <w:lang w:val="en-GB"/>
        </w:rPr>
      </w:pPr>
      <w:r>
        <w:rPr>
          <w:noProof/>
          <w:lang w:val="en-GB"/>
        </w:rPr>
        <w:t>3.</w:t>
      </w:r>
      <w:r>
        <w:rPr>
          <w:noProof/>
          <w:lang w:val="en-GB"/>
        </w:rPr>
        <w:tab/>
        <w:t xml:space="preserve">Vizcaino, J.A., Mueller, M., Hermjakob, H. &amp; Martens, L. Charting online OMICS resources: A navigational chart for clinical researchers. </w:t>
      </w:r>
      <w:r w:rsidRPr="00A815DB">
        <w:rPr>
          <w:i/>
          <w:noProof/>
          <w:lang w:val="en-GB"/>
        </w:rPr>
        <w:t>Proteomics Clin Appl</w:t>
      </w:r>
      <w:r>
        <w:rPr>
          <w:noProof/>
          <w:lang w:val="en-GB"/>
        </w:rPr>
        <w:t xml:space="preserve"> </w:t>
      </w:r>
      <w:r w:rsidRPr="00A815DB">
        <w:rPr>
          <w:b/>
          <w:noProof/>
          <w:lang w:val="en-GB"/>
        </w:rPr>
        <w:t>3</w:t>
      </w:r>
      <w:r>
        <w:rPr>
          <w:noProof/>
          <w:lang w:val="en-GB"/>
        </w:rPr>
        <w:t>, 18-29 (2009).</w:t>
      </w:r>
    </w:p>
    <w:p w:rsidR="00A815DB" w:rsidRDefault="00A815DB" w:rsidP="00A815DB">
      <w:pPr>
        <w:spacing w:after="0" w:line="240" w:lineRule="auto"/>
        <w:ind w:left="720" w:hanging="720"/>
        <w:rPr>
          <w:noProof/>
          <w:lang w:val="en-GB"/>
        </w:rPr>
      </w:pPr>
      <w:r>
        <w:rPr>
          <w:noProof/>
          <w:lang w:val="en-GB"/>
        </w:rPr>
        <w:t>4.</w:t>
      </w:r>
      <w:r>
        <w:rPr>
          <w:noProof/>
          <w:lang w:val="en-GB"/>
        </w:rPr>
        <w:tab/>
        <w:t xml:space="preserve">Apweiler, R. et al. UniProt: the Universal Protein knowledgebase. </w:t>
      </w:r>
      <w:r w:rsidRPr="00A815DB">
        <w:rPr>
          <w:i/>
          <w:noProof/>
          <w:lang w:val="en-GB"/>
        </w:rPr>
        <w:t>Nucleic Acids Res</w:t>
      </w:r>
      <w:r>
        <w:rPr>
          <w:noProof/>
          <w:lang w:val="en-GB"/>
        </w:rPr>
        <w:t xml:space="preserve"> </w:t>
      </w:r>
      <w:r w:rsidRPr="00A815DB">
        <w:rPr>
          <w:b/>
          <w:noProof/>
          <w:lang w:val="en-GB"/>
        </w:rPr>
        <w:t>32</w:t>
      </w:r>
      <w:r>
        <w:rPr>
          <w:noProof/>
          <w:lang w:val="en-GB"/>
        </w:rPr>
        <w:t>, D115-119 (2004).</w:t>
      </w:r>
    </w:p>
    <w:p w:rsidR="00A815DB" w:rsidRDefault="00A815DB" w:rsidP="00A815DB">
      <w:pPr>
        <w:spacing w:after="0" w:line="240" w:lineRule="auto"/>
        <w:ind w:left="720" w:hanging="720"/>
        <w:rPr>
          <w:noProof/>
          <w:lang w:val="en-GB"/>
        </w:rPr>
      </w:pPr>
      <w:r>
        <w:rPr>
          <w:noProof/>
          <w:lang w:val="en-GB"/>
        </w:rPr>
        <w:t>5.</w:t>
      </w:r>
      <w:r>
        <w:rPr>
          <w:noProof/>
          <w:lang w:val="en-GB"/>
        </w:rPr>
        <w:tab/>
        <w:t xml:space="preserve">Hubbard, T. et al. The Ensembl genome database project. </w:t>
      </w:r>
      <w:r w:rsidRPr="00A815DB">
        <w:rPr>
          <w:i/>
          <w:noProof/>
          <w:lang w:val="en-GB"/>
        </w:rPr>
        <w:t>Nucleic acids research</w:t>
      </w:r>
      <w:r>
        <w:rPr>
          <w:noProof/>
          <w:lang w:val="en-GB"/>
        </w:rPr>
        <w:t xml:space="preserve"> </w:t>
      </w:r>
      <w:r w:rsidRPr="00A815DB">
        <w:rPr>
          <w:b/>
          <w:noProof/>
          <w:lang w:val="en-GB"/>
        </w:rPr>
        <w:t>30</w:t>
      </w:r>
      <w:r>
        <w:rPr>
          <w:noProof/>
          <w:lang w:val="en-GB"/>
        </w:rPr>
        <w:t>, 38-41 (2002).</w:t>
      </w:r>
    </w:p>
    <w:p w:rsidR="00A815DB" w:rsidRDefault="00A815DB" w:rsidP="00A815DB">
      <w:pPr>
        <w:spacing w:after="0" w:line="240" w:lineRule="auto"/>
        <w:ind w:left="720" w:hanging="720"/>
        <w:rPr>
          <w:noProof/>
          <w:lang w:val="en-GB"/>
        </w:rPr>
      </w:pPr>
      <w:r>
        <w:rPr>
          <w:noProof/>
          <w:lang w:val="en-GB"/>
        </w:rPr>
        <w:t>6.</w:t>
      </w:r>
      <w:r>
        <w:rPr>
          <w:noProof/>
          <w:lang w:val="en-GB"/>
        </w:rPr>
        <w:tab/>
        <w:t xml:space="preserve">Cote, R.G. et al. The Protein Identifier Cross-Referencing (PICR) service: reconciling protein identifiers across multiple source databases. </w:t>
      </w:r>
      <w:r w:rsidRPr="00A815DB">
        <w:rPr>
          <w:i/>
          <w:noProof/>
          <w:lang w:val="en-GB"/>
        </w:rPr>
        <w:t>BMC bioinformatics</w:t>
      </w:r>
      <w:r>
        <w:rPr>
          <w:noProof/>
          <w:lang w:val="en-GB"/>
        </w:rPr>
        <w:t xml:space="preserve"> </w:t>
      </w:r>
      <w:r w:rsidRPr="00A815DB">
        <w:rPr>
          <w:b/>
          <w:noProof/>
          <w:lang w:val="en-GB"/>
        </w:rPr>
        <w:t>8</w:t>
      </w:r>
      <w:r>
        <w:rPr>
          <w:noProof/>
          <w:lang w:val="en-GB"/>
        </w:rPr>
        <w:t>, 401 (2007).</w:t>
      </w:r>
    </w:p>
    <w:p w:rsidR="00A815DB" w:rsidRDefault="00A815DB" w:rsidP="00A815DB">
      <w:pPr>
        <w:spacing w:after="0" w:line="240" w:lineRule="auto"/>
        <w:ind w:left="720" w:hanging="720"/>
        <w:rPr>
          <w:noProof/>
          <w:lang w:val="en-GB"/>
        </w:rPr>
      </w:pPr>
      <w:r>
        <w:rPr>
          <w:noProof/>
          <w:lang w:val="en-GB"/>
        </w:rPr>
        <w:t>7.</w:t>
      </w:r>
      <w:r>
        <w:rPr>
          <w:noProof/>
          <w:lang w:val="en-GB"/>
        </w:rPr>
        <w:tab/>
        <w:t xml:space="preserve">Jones, P. et al. Dasty and UniProt DAS: a perfect pair for protein feature visualization. </w:t>
      </w:r>
      <w:r w:rsidRPr="00A815DB">
        <w:rPr>
          <w:i/>
          <w:noProof/>
          <w:lang w:val="en-GB"/>
        </w:rPr>
        <w:t>Bioinformatics</w:t>
      </w:r>
      <w:r>
        <w:rPr>
          <w:noProof/>
          <w:lang w:val="en-GB"/>
        </w:rPr>
        <w:t xml:space="preserve"> </w:t>
      </w:r>
      <w:r w:rsidRPr="00A815DB">
        <w:rPr>
          <w:b/>
          <w:noProof/>
          <w:lang w:val="en-GB"/>
        </w:rPr>
        <w:t>21</w:t>
      </w:r>
      <w:r>
        <w:rPr>
          <w:noProof/>
          <w:lang w:val="en-GB"/>
        </w:rPr>
        <w:t>, 3198-3199 (2005).</w:t>
      </w:r>
    </w:p>
    <w:p w:rsidR="00A815DB" w:rsidRDefault="00A815DB" w:rsidP="00A815DB">
      <w:pPr>
        <w:spacing w:after="0" w:line="240" w:lineRule="auto"/>
        <w:ind w:left="720" w:hanging="720"/>
        <w:rPr>
          <w:noProof/>
          <w:lang w:val="en-GB"/>
        </w:rPr>
      </w:pPr>
      <w:r>
        <w:rPr>
          <w:noProof/>
          <w:lang w:val="en-GB"/>
        </w:rPr>
        <w:t>8.</w:t>
      </w:r>
      <w:r>
        <w:rPr>
          <w:noProof/>
          <w:lang w:val="en-GB"/>
        </w:rPr>
        <w:tab/>
        <w:t xml:space="preserve">Haw, R., Hermjakob, H., D'Eustachio, P. &amp; Stein, L. Reactome pathway analysis to enrich biological discovery in proteomics data sets. </w:t>
      </w:r>
      <w:r w:rsidRPr="00A815DB">
        <w:rPr>
          <w:i/>
          <w:noProof/>
          <w:lang w:val="en-GB"/>
        </w:rPr>
        <w:t>Proteomics</w:t>
      </w:r>
      <w:r>
        <w:rPr>
          <w:noProof/>
          <w:lang w:val="en-GB"/>
        </w:rPr>
        <w:t xml:space="preserve"> </w:t>
      </w:r>
      <w:r w:rsidRPr="00A815DB">
        <w:rPr>
          <w:b/>
          <w:noProof/>
          <w:lang w:val="en-GB"/>
        </w:rPr>
        <w:t>11</w:t>
      </w:r>
      <w:r>
        <w:rPr>
          <w:noProof/>
          <w:lang w:val="en-GB"/>
        </w:rPr>
        <w:t>, 3598-3613 (2011).</w:t>
      </w:r>
    </w:p>
    <w:p w:rsidR="00A815DB" w:rsidRDefault="00A815DB" w:rsidP="00A815DB">
      <w:pPr>
        <w:spacing w:after="0" w:line="240" w:lineRule="auto"/>
        <w:ind w:left="720" w:hanging="720"/>
        <w:rPr>
          <w:noProof/>
          <w:lang w:val="en-GB"/>
        </w:rPr>
      </w:pPr>
    </w:p>
    <w:p w:rsidR="002C4A56" w:rsidRPr="00072926" w:rsidRDefault="007860A8"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20B" w:rsidRDefault="0069220B" w:rsidP="00C22471">
      <w:pPr>
        <w:spacing w:after="0" w:line="240" w:lineRule="auto"/>
      </w:pPr>
      <w:r>
        <w:separator/>
      </w:r>
    </w:p>
  </w:endnote>
  <w:endnote w:type="continuationSeparator" w:id="0">
    <w:p w:rsidR="0069220B" w:rsidRDefault="0069220B"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7860A8" w:rsidRPr="00EE5E45">
      <w:rPr>
        <w:b/>
      </w:rPr>
      <w:fldChar w:fldCharType="begin"/>
    </w:r>
    <w:r w:rsidR="00753DBE" w:rsidRPr="00EE5E45">
      <w:rPr>
        <w:b/>
      </w:rPr>
      <w:instrText xml:space="preserve"> PAGE </w:instrText>
    </w:r>
    <w:r w:rsidR="007860A8" w:rsidRPr="00EE5E45">
      <w:rPr>
        <w:b/>
      </w:rPr>
      <w:fldChar w:fldCharType="separate"/>
    </w:r>
    <w:r w:rsidR="00A815DB">
      <w:rPr>
        <w:b/>
        <w:noProof/>
      </w:rPr>
      <w:t>1</w:t>
    </w:r>
    <w:r w:rsidR="007860A8" w:rsidRPr="00EE5E45">
      <w:rPr>
        <w:b/>
      </w:rPr>
      <w:fldChar w:fldCharType="end"/>
    </w:r>
    <w:r w:rsidR="00753DBE" w:rsidRPr="00EE5E45">
      <w:t xml:space="preserve"> of </w:t>
    </w:r>
    <w:r w:rsidR="007860A8" w:rsidRPr="00EE5E45">
      <w:rPr>
        <w:b/>
      </w:rPr>
      <w:fldChar w:fldCharType="begin"/>
    </w:r>
    <w:r w:rsidR="00753DBE" w:rsidRPr="00EE5E45">
      <w:rPr>
        <w:b/>
      </w:rPr>
      <w:instrText xml:space="preserve"> NUMPAGES  </w:instrText>
    </w:r>
    <w:r w:rsidR="007860A8" w:rsidRPr="00EE5E45">
      <w:rPr>
        <w:b/>
      </w:rPr>
      <w:fldChar w:fldCharType="separate"/>
    </w:r>
    <w:r w:rsidR="00A815DB">
      <w:rPr>
        <w:b/>
        <w:noProof/>
      </w:rPr>
      <w:t>14</w:t>
    </w:r>
    <w:r w:rsidR="007860A8"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20B" w:rsidRDefault="0069220B" w:rsidP="00C22471">
      <w:pPr>
        <w:spacing w:after="0" w:line="240" w:lineRule="auto"/>
      </w:pPr>
      <w:r>
        <w:separator/>
      </w:r>
    </w:p>
  </w:footnote>
  <w:footnote w:type="continuationSeparator" w:id="0">
    <w:p w:rsidR="0069220B" w:rsidRDefault="0069220B"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A767E"/>
    <w:rsid w:val="005B0331"/>
    <w:rsid w:val="005B22B4"/>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220B"/>
    <w:rsid w:val="00693861"/>
    <w:rsid w:val="00693EA3"/>
    <w:rsid w:val="00694A65"/>
    <w:rsid w:val="00694F46"/>
    <w:rsid w:val="00695E3D"/>
    <w:rsid w:val="006975A5"/>
    <w:rsid w:val="00697A19"/>
    <w:rsid w:val="006A296C"/>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767"/>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0A8"/>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95C"/>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E6AE7"/>
    <w:rsid w:val="009F056D"/>
    <w:rsid w:val="009F05DC"/>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15DB"/>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4C99"/>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303"/>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A566B"/>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25CD"/>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0C62"/>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B714D"/>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0E75"/>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8BBC2-E46B-4574-8A4A-5D3884299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14</Pages>
  <Words>1970</Words>
  <Characters>10446</Characters>
  <Application>Microsoft Office Word</Application>
  <DocSecurity>0</DocSecurity>
  <Lines>87</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12392</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265</cp:revision>
  <cp:lastPrinted>2014-08-30T10:45:00Z</cp:lastPrinted>
  <dcterms:created xsi:type="dcterms:W3CDTF">2011-09-01T10:00:00Z</dcterms:created>
  <dcterms:modified xsi:type="dcterms:W3CDTF">2014-09-25T13:47:00Z</dcterms:modified>
</cp:coreProperties>
</file>