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E15019" w:rsidP="00140A1B">
      <w:pPr>
        <w:pStyle w:val="Title"/>
        <w:rPr>
          <w:lang w:val="en-GB"/>
        </w:rPr>
      </w:pPr>
      <w:r>
        <w:rPr>
          <w:lang w:val="en-GB"/>
        </w:rPr>
        <w:t>Data Sharing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</w:t>
      </w:r>
      <w:r w:rsidR="000979CE">
        <w:rPr>
          <w:lang w:val="en-GB"/>
        </w:rPr>
        <w:t>Note that</w:t>
      </w:r>
      <w:r>
        <w:rPr>
          <w:lang w:val="en-GB"/>
        </w:rPr>
        <w:t xml:space="preserve">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AD5B47" w:rsidP="00822D9F">
      <w:pPr>
        <w:jc w:val="both"/>
        <w:rPr>
          <w:lang w:val="en-GB"/>
        </w:rPr>
      </w:pPr>
      <w:r w:rsidRPr="00AD5B47">
        <w:rPr>
          <w:noProof/>
          <w:lang w:val="de-DE" w:eastAsia="de-DE"/>
        </w:rPr>
      </w:r>
      <w:r w:rsidRPr="00AD5B47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5032;top:7683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408;top:4714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89;top:6582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  <w:t>Resources</w:t>
                    </w:r>
                  </w:p>
                </w:txbxContent>
              </v:textbox>
            </v:oval>
            <v:oval id="Ellipse 19" o:spid="_x0000_s1032" style="position:absolute;left:5007;top:9842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0979CE">
                    <w:pPr>
                      <w:pStyle w:val="NormalWeb"/>
                      <w:spacing w:before="0" w:beforeAutospacing="0" w:after="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6075;top:6552;width:285;height:775" adj="16193,7731">
              <v:textbox style="layout-flow:vertical-ideographic"/>
            </v:shape>
            <v:shape id="_x0000_s1046" type="#_x0000_t67" style="position:absolute;left:6075;top:8986;width:285;height:775" adj="16193,7731">
              <v:textbox style="layout-flow:vertical-ideographic"/>
            </v:shape>
            <v:shape id="_x0000_s1047" type="#_x0000_t67" style="position:absolute;left:7642;top:6039;width:285;height:775;rotation:45;flip:y" adj="16193,7731">
              <v:textbox style="layout-flow:vertical-ideographic"/>
            </v:shape>
            <v:shape id="_x0000_s1050" type="#_x0000_t67" style="position:absolute;left:7559;top:7352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4773DF" w:rsidRDefault="000979C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Pr="005A1F70">
        <w:rPr>
          <w:color w:val="1F497D" w:themeColor="text2"/>
          <w:lang w:val="en-GB"/>
        </w:rPr>
        <w:t xml:space="preserve">ProteomeXchange </w:t>
      </w:r>
      <w:r>
        <w:rPr>
          <w:lang w:val="en-GB"/>
        </w:rPr>
        <w:t xml:space="preserve">consortium was launched </w:t>
      </w:r>
      <w:r w:rsidR="00A960B0">
        <w:rPr>
          <w:lang w:val="en-GB"/>
        </w:rPr>
        <w:t>to unify and simplify the sharing of proteomic data</w:t>
      </w:r>
      <w:r w:rsidR="00D237AD">
        <w:rPr>
          <w:lang w:val="en-GB"/>
        </w:rPr>
        <w:fldChar w:fldCharType="begin"/>
      </w:r>
      <w:r w:rsidR="00D237AD">
        <w:rPr>
          <w:lang w:val="en-GB"/>
        </w:rPr>
        <w:instrText xml:space="preserve"> ADDIN EN.CITE &lt;EndNote&gt;&lt;Cite&gt;&lt;Author&gt;Juan A Vizcaíno&lt;/Author&gt;&lt;Year&gt;2014&lt;/Year&gt;&lt;RecNum&gt;405&lt;/RecNum&gt;&lt;record&gt;&lt;rec-number&gt;405&lt;/rec-number&gt;&lt;foreign-keys&gt;&lt;key app="EN" db-id="wsxvrwestxpfw9e2re6pzxdopvfd2pfwxadz"&gt;405&lt;/key&gt;&lt;/foreign-keys&gt;&lt;ref-type name="Journal Article"&gt;17&lt;/ref-type&gt;&lt;contributors&gt;&lt;authors&gt;&lt;author&gt;Juan A Vizcaíno,&amp;#x9;&lt;/author&gt;&lt;author&gt; Eric W Deutsch,&amp;#x9;&lt;/author&gt;&lt;author&gt; Rui Wang,&amp;#x9;&lt;/author&gt;&lt;author&gt; Attila Csordas,&amp;#x9;&lt;/author&gt;&lt;author&gt; Florian Reisinger,&amp;#x9;&lt;/author&gt;&lt;author&gt; Daniel Ríos,&amp;#x9;&lt;/author&gt;&lt;author&gt; José A Dianes,&amp;#x9;&lt;/author&gt;&lt;author&gt; Zhi Sun,&amp;#x9;&lt;/author&gt;&lt;author&gt; Terry Farrah,&amp;#x9;&lt;/author&gt;&lt;author&gt; Nuno Bandeira,&amp;#x9;&lt;/author&gt;&lt;author&gt; Pierre-Alain Binz,&amp;#x9;&lt;/author&gt;&lt;author&gt; Ioannis Xenarios,&amp;#x9;&lt;/author&gt;&lt;author&gt; Martin Eisenacher,&amp;#x9;&lt;/author&gt;&lt;author&gt; Gerhard Mayer,&amp;#x9;&lt;/author&gt;&lt;author&gt; Laurent Gatto,&amp;#x9;&lt;/author&gt;&lt;author&gt; Alex Campos,&amp;#x9;&lt;/author&gt;&lt;author&gt; Robert J Chalkley,&amp;#x9;&lt;/author&gt;&lt;author&gt; Hans-Joachim Kraus,&amp;#x9;&lt;/author&gt;&lt;author&gt; Juan Pablo Albar,&amp;#x9;&lt;/author&gt;&lt;author&gt; Salvador Martinez-Bartolomé,&amp;#x9;&lt;/author&gt;&lt;author&gt; Rolf Apweiler,&amp;#x9;&lt;/author&gt;&lt;author&gt; Gilbert S Omenn,&amp;#x9;&lt;/author&gt;&lt;author&gt; Lennart Martens,&amp;#x9;&lt;/author&gt;&lt;author&gt; Andrew R Jones&amp;#x9;&lt;/author&gt;&lt;author&gt; &amp;amp; Henning Hermjakob&amp;#x9;&lt;/author&gt;&lt;/authors&gt;&lt;/contributors&gt;&lt;titles&gt;&lt;title&gt;ProteomeXchange provides globally coordinated proteomics data submission and dissemination&lt;/title&gt;&lt;secondary-title&gt;Nat Biotechnol&lt;/secondary-title&gt;&lt;/titles&gt;&lt;periodical&gt;&lt;full-title&gt;Nat Biotechnol&lt;/full-title&gt;&lt;/periodical&gt;&lt;pages&gt;223–226&lt;/pages&gt;&lt;volume&gt;32&lt;/volume&gt;&lt;section&gt;223&lt;/section&gt;&lt;dates&gt;&lt;year&gt;2014&lt;/year&gt;&lt;/dates&gt;&lt;urls&gt;&lt;/urls&gt;&lt;/record&gt;&lt;/Cite&gt;&lt;/EndNote&gt;</w:instrText>
      </w:r>
      <w:r w:rsidR="00D237AD">
        <w:rPr>
          <w:lang w:val="en-GB"/>
        </w:rPr>
        <w:fldChar w:fldCharType="separate"/>
      </w:r>
      <w:r w:rsidR="00D237AD" w:rsidRPr="00D237AD">
        <w:rPr>
          <w:noProof/>
          <w:vertAlign w:val="superscript"/>
          <w:lang w:val="en-GB"/>
        </w:rPr>
        <w:t>1</w:t>
      </w:r>
      <w:r w:rsidR="00D237AD">
        <w:rPr>
          <w:lang w:val="en-GB"/>
        </w:rPr>
        <w:fldChar w:fldCharType="end"/>
      </w:r>
      <w:r w:rsidR="00A960B0">
        <w:rPr>
          <w:lang w:val="en-GB"/>
        </w:rPr>
        <w:t>. There, identification results are stored via the</w:t>
      </w:r>
      <w:r w:rsidR="00B46A9E">
        <w:rPr>
          <w:lang w:val="en-GB"/>
        </w:rPr>
        <w:t xml:space="preserve"> </w:t>
      </w:r>
      <w:r w:rsidR="00A166C6">
        <w:rPr>
          <w:color w:val="002060"/>
          <w:lang w:val="en-GB"/>
        </w:rPr>
        <w:t>p</w:t>
      </w:r>
      <w:r w:rsidR="00B46A9E"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="00B46A9E"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="00B46A9E"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="00B46A9E" w:rsidRPr="00B46A9E">
        <w:rPr>
          <w:color w:val="002060"/>
          <w:lang w:val="en-GB"/>
        </w:rPr>
        <w:t>atabase</w:t>
      </w:r>
      <w:hyperlink w:anchor="_ENREF_1" w:tooltip="Martens, 2005 #18" w:history="1">
        <w:r w:rsidR="00AD5B47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 </w:instrText>
        </w:r>
        <w:r w:rsidR="00AD5B47">
          <w:rPr>
            <w:color w:val="002060"/>
            <w:lang w:val="en-GB"/>
          </w:rPr>
          <w:fldChar w:fldCharType="begin">
            <w:fldData xml:space="preserve">PEVuZE5vdGU+PENpdGU+PEF1dGhvcj5NYXJ0ZW5zPC9BdXRob3I+PFllYXI+MjAwNTwvWWVhcj48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</w:fldData>
          </w:fldChar>
        </w:r>
        <w:r w:rsidR="00A960B0">
          <w:rPr>
            <w:color w:val="002060"/>
            <w:lang w:val="en-GB"/>
          </w:rPr>
          <w:instrText xml:space="preserve"> ADDIN EN.CITE.DATA </w:instrText>
        </w:r>
        <w:r w:rsidR="00AD5B47">
          <w:rPr>
            <w:color w:val="002060"/>
            <w:lang w:val="en-GB"/>
          </w:rPr>
        </w:r>
        <w:r w:rsidR="00AD5B47">
          <w:rPr>
            <w:color w:val="002060"/>
            <w:lang w:val="en-GB"/>
          </w:rPr>
          <w:fldChar w:fldCharType="end"/>
        </w:r>
        <w:r w:rsidR="00AD5B47">
          <w:rPr>
            <w:color w:val="002060"/>
            <w:lang w:val="en-GB"/>
          </w:rPr>
        </w:r>
        <w:r w:rsidR="00AD5B47">
          <w:rPr>
            <w:color w:val="002060"/>
            <w:lang w:val="en-GB"/>
          </w:rPr>
          <w:fldChar w:fldCharType="separate"/>
        </w:r>
        <w:r w:rsidR="00D237AD" w:rsidRPr="00D237AD">
          <w:rPr>
            <w:noProof/>
            <w:color w:val="002060"/>
            <w:vertAlign w:val="superscript"/>
            <w:lang w:val="en-GB"/>
          </w:rPr>
          <w:t>2</w:t>
        </w:r>
        <w:r w:rsidR="00AD5B47">
          <w:rPr>
            <w:color w:val="002060"/>
            <w:lang w:val="en-GB"/>
          </w:rPr>
          <w:fldChar w:fldCharType="end"/>
        </w:r>
      </w:hyperlink>
      <w:r w:rsidR="00B46A9E"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 w:rsidR="00B46A9E">
        <w:rPr>
          <w:lang w:val="en-GB"/>
        </w:rPr>
        <w:t>).</w:t>
      </w:r>
      <w:r w:rsidR="00A960B0">
        <w:rPr>
          <w:lang w:val="en-GB"/>
        </w:rPr>
        <w:t xml:space="preserve"> In order to make our data understandable to all, we need to convert it to standard formats and document the processing steps using standardized vocabulary</w:t>
      </w:r>
      <w:hyperlink w:anchor="_ENREF_2" w:tooltip="Martens, 2008 #49" w:history="1">
        <w:r w:rsidR="00AD5B47">
          <w:rPr>
            <w:lang w:val="en-GB"/>
          </w:rPr>
          <w:fldChar w:fldCharType="begin"/>
        </w:r>
        <w:r w:rsidR="00A960B0">
          <w:rPr>
            <w:lang w:val="en-GB"/>
          </w:rPr>
          <w:instrText xml:space="preserve"> ADDIN EN.CITE &lt;EndNote&gt;&lt;Cite&gt;&lt;Author&gt;Martens&lt;/Author&gt;&lt;Year&gt;2008&lt;/Year&gt;&lt;RecNum&gt;49&lt;/RecNum&gt;&lt;DisplayText&gt;&lt;style face="superscript"&gt;2&lt;/style&gt;&lt;/DisplayText&gt;&lt;record&gt;&lt;rec-number&gt;49&lt;/rec-number&gt;&lt;foreign-keys&gt;&lt;key app="EN" db-id="eresv20p6zxrtfeeev5ptedr0p0ada9r29tx"&gt;49&lt;/key&gt;&lt;/foreign-keys&gt;&lt;ref-type name="Journal Article"&gt;17&lt;/ref-type&gt;&lt;contributors&gt;&lt;authors&gt;&lt;author&gt;Martens, L.&lt;/author&gt;&lt;author&gt;Palazzi, L. M.&lt;/author&gt;&lt;author&gt;Hermjakob, H.&lt;/author&gt;&lt;/authors&gt;&lt;/contributors&gt;&lt;auth-address&gt;European Bioinformatics Institute, Wellcome Trust Genome Campus, Hinxton, Cambridge, UK.&lt;/auth-address&gt;&lt;titles&gt;&lt;title&gt;Data standards and controlled vocabularies for proteomics&lt;/title&gt;&lt;secondary-title&gt;Methods Mol Biol&lt;/secondary-title&gt;&lt;alt-title&gt;Methods in molecular biology&lt;/alt-title&gt;&lt;/titles&gt;&lt;periodical&gt;&lt;full-title&gt;Methods Mol Biol&lt;/full-title&gt;&lt;abbr-1&gt;Methods in molecular biology&lt;/abbr-1&gt;&lt;/periodical&gt;&lt;alt-periodical&gt;&lt;full-title&gt;Methods Mol Biol&lt;/full-title&gt;&lt;abbr-1&gt;Methods in molecular biology&lt;/abbr-1&gt;&lt;/alt-periodical&gt;&lt;pages&gt;279-86&lt;/pages&gt;&lt;volume&gt;484&lt;/volume&gt;&lt;keywords&gt;&lt;keyword&gt;Humans&lt;/keyword&gt;&lt;keyword&gt;Mass Spectrometry/standards&lt;/keyword&gt;&lt;keyword&gt;Proteins/chemistry/metabolism&lt;/keyword&gt;&lt;keyword&gt;Proteome/analysis&lt;/keyword&gt;&lt;keyword&gt;Proteomics/*standards&lt;/keyword&gt;&lt;keyword&gt;Reference Standards&lt;/keyword&gt;&lt;keyword&gt;*Vocabulary, Controlled&lt;/keyword&gt;&lt;/keywords&gt;&lt;dates&gt;&lt;year&gt;2008&lt;/year&gt;&lt;/dates&gt;&lt;isbn&gt;1064-3745 (Print)&amp;#xD;1064-3745 (Linking)&lt;/isbn&gt;&lt;accession-num&gt;18592186&lt;/accession-num&gt;&lt;urls&gt;&lt;related-urls&gt;&lt;url&gt;http://www.ncbi.nlm.nih.gov/pubmed/18592186&lt;/url&gt;&lt;/related-urls&gt;&lt;/urls&gt;&lt;electronic-resource-num&gt;10.1007/978-1-59745-398-1_18&lt;/electronic-resource-num&gt;&lt;/record&gt;&lt;/Cite&gt;&lt;/EndNote&gt;</w:instrText>
        </w:r>
        <w:r w:rsidR="00AD5B47">
          <w:rPr>
            <w:lang w:val="en-GB"/>
          </w:rPr>
          <w:fldChar w:fldCharType="separate"/>
        </w:r>
        <w:r w:rsidR="00D237AD" w:rsidRPr="00D237AD">
          <w:rPr>
            <w:noProof/>
            <w:vertAlign w:val="superscript"/>
            <w:lang w:val="en-GB"/>
          </w:rPr>
          <w:t>3</w:t>
        </w:r>
        <w:r w:rsidR="00AD5B47">
          <w:rPr>
            <w:lang w:val="en-GB"/>
          </w:rPr>
          <w:fldChar w:fldCharType="end"/>
        </w:r>
      </w:hyperlink>
      <w:r w:rsidR="00E80F80">
        <w:rPr>
          <w:lang w:val="en-GB"/>
        </w:rPr>
        <w:t xml:space="preserve">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 xml:space="preserve">called </w:t>
      </w:r>
      <w:proofErr w:type="spellStart"/>
      <w:r w:rsidR="00E80F80">
        <w:rPr>
          <w:lang w:val="en-GB"/>
        </w:rPr>
        <w:t>mzIdentML</w:t>
      </w:r>
      <w:proofErr w:type="spellEnd"/>
      <w:r w:rsidR="0051032E">
        <w:rPr>
          <w:lang w:val="en-GB"/>
        </w:rPr>
        <w:t>.</w:t>
      </w:r>
      <w:hyperlink w:anchor="_ENREF_3" w:tooltip="Jones, 2012 #330" w:history="1">
        <w:r w:rsidR="00AD5B47">
          <w:rPr>
            <w:lang w:val="en-GB"/>
          </w:rPr>
          <w:fldChar w:fldCharType="begin">
  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  </w:fldChar>
        </w:r>
        <w:r w:rsidR="00D237AD">
          <w:rPr>
            <w:lang w:val="en-GB"/>
          </w:rPr>
          <w:instrText xml:space="preserve"> ADDIN EN.CITE </w:instrText>
        </w:r>
        <w:r w:rsidR="00D237AD">
          <w:rPr>
            <w:lang w:val="en-GB"/>
          </w:rPr>
          <w:fldChar w:fldCharType="begin">
  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  </w:fldChar>
        </w:r>
        <w:r w:rsidR="00D237AD">
          <w:rPr>
            <w:lang w:val="en-GB"/>
          </w:rPr>
          <w:instrText xml:space="preserve"> ADDIN EN.CITE.DATA </w:instrText>
        </w:r>
        <w:r w:rsidR="00D237AD">
          <w:rPr>
            <w:lang w:val="en-GB"/>
          </w:rPr>
        </w:r>
        <w:r w:rsidR="00D237AD">
          <w:rPr>
            <w:lang w:val="en-GB"/>
          </w:rPr>
          <w:fldChar w:fldCharType="end"/>
        </w:r>
        <w:r w:rsidR="00AD5B47">
          <w:rPr>
            <w:lang w:val="en-GB"/>
          </w:rPr>
          <w:fldChar w:fldCharType="separate"/>
        </w:r>
        <w:r w:rsidR="00D237AD" w:rsidRPr="00D237AD">
          <w:rPr>
            <w:noProof/>
            <w:vertAlign w:val="superscript"/>
            <w:lang w:val="en-GB"/>
          </w:rPr>
          <w:t>4</w:t>
        </w:r>
        <w:r w:rsidR="00AD5B47">
          <w:rPr>
            <w:lang w:val="en-GB"/>
          </w:rPr>
          <w:fldChar w:fldCharType="end"/>
        </w:r>
      </w:hyperlink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lastRenderedPageBreak/>
        <w:t xml:space="preserve">If you go on the </w:t>
      </w:r>
      <w:r w:rsidRPr="005A1F70">
        <w:rPr>
          <w:color w:val="1F497D" w:themeColor="text2"/>
          <w:lang w:val="en-GB"/>
        </w:rPr>
        <w:t xml:space="preserve">ProteomeXchange </w:t>
      </w:r>
      <w:r w:rsidRPr="004773DF">
        <w:rPr>
          <w:color w:val="000000" w:themeColor="text1"/>
          <w:lang w:val="en-GB"/>
        </w:rPr>
        <w:t xml:space="preserve">website </w:t>
      </w:r>
      <w:r>
        <w:rPr>
          <w:lang w:val="en-GB"/>
        </w:rPr>
        <w:t>(</w:t>
      </w:r>
      <w:hyperlink r:id="rId9" w:history="1">
        <w:r w:rsidRPr="00CD7B04">
          <w:rPr>
            <w:rStyle w:val="Hyperlink"/>
          </w:rPr>
          <w:t>http://www.proteomexchange.org</w:t>
        </w:r>
      </w:hyperlink>
      <w:r>
        <w:rPr>
          <w:lang w:val="en-GB"/>
        </w:rPr>
        <w:t>) you will see the starting point for submitting and accessing datasets:</w:t>
      </w:r>
    </w:p>
    <w:p w:rsidR="00A25381" w:rsidRDefault="00A25381" w:rsidP="004773DF">
      <w:pPr>
        <w:rPr>
          <w:lang w:val="en-GB"/>
        </w:rPr>
      </w:pPr>
    </w:p>
    <w:p w:rsidR="004773DF" w:rsidRDefault="00950F4C" w:rsidP="00A25381">
      <w:pPr>
        <w:jc w:val="center"/>
        <w:rPr>
          <w:color w:val="1F497D" w:themeColor="text2"/>
          <w:lang w:val="en-GB"/>
        </w:rPr>
      </w:pPr>
      <w:r>
        <w:rPr>
          <w:noProof/>
          <w:color w:val="1F497D" w:themeColor="text2"/>
          <w:lang w:val="nb-NO" w:eastAsia="nb-NO"/>
        </w:rPr>
        <w:drawing>
          <wp:inline distT="0" distB="0" distL="0" distR="0">
            <wp:extent cx="4492156" cy="4469130"/>
            <wp:effectExtent l="57150" t="19050" r="117944" b="838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56" cy="44691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5381" w:rsidRDefault="00A25381" w:rsidP="004773DF">
      <w:pPr>
        <w:rPr>
          <w:lang w:val="en-GB"/>
        </w:rPr>
      </w:pPr>
    </w:p>
    <w:p w:rsidR="004773DF" w:rsidRDefault="004773DF" w:rsidP="00A25381">
      <w:pPr>
        <w:jc w:val="both"/>
        <w:rPr>
          <w:lang w:val="en-GB"/>
        </w:rPr>
      </w:pPr>
      <w:r>
        <w:rPr>
          <w:lang w:val="en-GB"/>
        </w:rPr>
        <w:t>In this chapter, we will see how to submit, browse and reprocess online datasets.</w:t>
      </w:r>
    </w:p>
    <w:p w:rsidR="004773DF" w:rsidRDefault="004773DF" w:rsidP="004773DF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D237AD" w:rsidRPr="00D237AD" w:rsidRDefault="00AD5B47" w:rsidP="00D237AD">
      <w:pPr>
        <w:spacing w:after="0" w:line="240" w:lineRule="auto"/>
        <w:ind w:left="720" w:hanging="720"/>
        <w:rPr>
          <w:noProof/>
          <w:lang w:val="fr-FR"/>
        </w:rPr>
      </w:pPr>
      <w:r>
        <w:rPr>
          <w:noProof/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noProof/>
          <w:lang w:val="en-GB"/>
        </w:rPr>
        <w:fldChar w:fldCharType="separate"/>
      </w:r>
      <w:r w:rsidR="00D237AD" w:rsidRPr="00D237AD">
        <w:rPr>
          <w:noProof/>
          <w:lang w:val="fr-FR"/>
        </w:rPr>
        <w:t>1.</w:t>
      </w:r>
      <w:r w:rsidR="00D237AD" w:rsidRPr="00D237AD">
        <w:rPr>
          <w:noProof/>
          <w:lang w:val="fr-FR"/>
        </w:rPr>
        <w:tab/>
        <w:t xml:space="preserve">Juan A Vizcaíno et al. ProteomeXchange provides globally coordinated proteomics data submission and dissemination. </w:t>
      </w:r>
      <w:r w:rsidR="00D237AD" w:rsidRPr="00D237AD">
        <w:rPr>
          <w:i/>
          <w:noProof/>
          <w:lang w:val="fr-FR"/>
        </w:rPr>
        <w:t>Nat Biotechnol</w:t>
      </w:r>
      <w:r w:rsidR="00D237AD" w:rsidRPr="00D237AD">
        <w:rPr>
          <w:noProof/>
          <w:lang w:val="fr-FR"/>
        </w:rPr>
        <w:t xml:space="preserve"> </w:t>
      </w:r>
      <w:r w:rsidR="00D237AD" w:rsidRPr="00D237AD">
        <w:rPr>
          <w:b/>
          <w:noProof/>
          <w:lang w:val="fr-FR"/>
        </w:rPr>
        <w:t>32</w:t>
      </w:r>
      <w:r w:rsidR="00D237AD" w:rsidRPr="00D237AD">
        <w:rPr>
          <w:noProof/>
          <w:lang w:val="fr-FR"/>
        </w:rPr>
        <w:t>, 223–226 (2014).</w:t>
      </w:r>
    </w:p>
    <w:p w:rsidR="00D237AD" w:rsidRPr="00D237AD" w:rsidRDefault="00D237AD" w:rsidP="00D237AD">
      <w:pPr>
        <w:spacing w:after="0" w:line="240" w:lineRule="auto"/>
        <w:ind w:left="720" w:hanging="720"/>
        <w:rPr>
          <w:noProof/>
          <w:lang w:val="fr-FR"/>
        </w:rPr>
      </w:pPr>
      <w:r w:rsidRPr="00D237AD">
        <w:rPr>
          <w:noProof/>
          <w:lang w:val="fr-FR"/>
        </w:rPr>
        <w:t>2.</w:t>
      </w:r>
      <w:r w:rsidRPr="00D237AD">
        <w:rPr>
          <w:noProof/>
          <w:lang w:val="fr-FR"/>
        </w:rPr>
        <w:tab/>
        <w:t xml:space="preserve">Martens, L. et al. PRIDE: the proteomics identifications database. </w:t>
      </w:r>
      <w:r w:rsidRPr="00D237AD">
        <w:rPr>
          <w:i/>
          <w:noProof/>
          <w:lang w:val="fr-FR"/>
        </w:rPr>
        <w:t>Proteomics</w:t>
      </w:r>
      <w:r w:rsidRPr="00D237AD">
        <w:rPr>
          <w:noProof/>
          <w:lang w:val="fr-FR"/>
        </w:rPr>
        <w:t xml:space="preserve"> </w:t>
      </w:r>
      <w:r w:rsidRPr="00D237AD">
        <w:rPr>
          <w:b/>
          <w:noProof/>
          <w:lang w:val="fr-FR"/>
        </w:rPr>
        <w:t>5</w:t>
      </w:r>
      <w:r w:rsidRPr="00D237AD">
        <w:rPr>
          <w:noProof/>
          <w:lang w:val="fr-FR"/>
        </w:rPr>
        <w:t>, 3537-3545 (2005).</w:t>
      </w:r>
    </w:p>
    <w:p w:rsidR="00D237AD" w:rsidRPr="00D237AD" w:rsidRDefault="00D237AD" w:rsidP="00D237AD">
      <w:pPr>
        <w:spacing w:after="0" w:line="240" w:lineRule="auto"/>
        <w:ind w:left="720" w:hanging="720"/>
        <w:rPr>
          <w:noProof/>
          <w:lang w:val="fr-FR"/>
        </w:rPr>
      </w:pPr>
      <w:r w:rsidRPr="00D237AD">
        <w:rPr>
          <w:noProof/>
          <w:lang w:val="fr-FR"/>
        </w:rPr>
        <w:t>3.</w:t>
      </w:r>
      <w:r w:rsidRPr="00D237AD">
        <w:rPr>
          <w:noProof/>
          <w:lang w:val="fr-FR"/>
        </w:rPr>
        <w:tab/>
        <w:t xml:space="preserve">Martens, L., Palazzi, L.M. &amp; Hermjakob, H. Data standards and controlled vocabularies for proteomics. </w:t>
      </w:r>
      <w:r w:rsidRPr="00D237AD">
        <w:rPr>
          <w:i/>
          <w:noProof/>
          <w:lang w:val="fr-FR"/>
        </w:rPr>
        <w:t>Methods in molecular biology</w:t>
      </w:r>
      <w:r w:rsidRPr="00D237AD">
        <w:rPr>
          <w:noProof/>
          <w:lang w:val="fr-FR"/>
        </w:rPr>
        <w:t xml:space="preserve"> </w:t>
      </w:r>
      <w:r w:rsidRPr="00D237AD">
        <w:rPr>
          <w:b/>
          <w:noProof/>
          <w:lang w:val="fr-FR"/>
        </w:rPr>
        <w:t>484</w:t>
      </w:r>
      <w:r w:rsidRPr="00D237AD">
        <w:rPr>
          <w:noProof/>
          <w:lang w:val="fr-FR"/>
        </w:rPr>
        <w:t>, 279-286 (2008).</w:t>
      </w:r>
    </w:p>
    <w:p w:rsidR="00D237AD" w:rsidRPr="00D237AD" w:rsidRDefault="00D237AD" w:rsidP="00D237AD">
      <w:pPr>
        <w:spacing w:after="0" w:line="240" w:lineRule="auto"/>
        <w:ind w:left="720" w:hanging="720"/>
        <w:rPr>
          <w:noProof/>
          <w:lang w:val="fr-FR"/>
        </w:rPr>
      </w:pPr>
      <w:r w:rsidRPr="00D237AD">
        <w:rPr>
          <w:noProof/>
          <w:lang w:val="fr-FR"/>
        </w:rPr>
        <w:t>4.</w:t>
      </w:r>
      <w:r w:rsidRPr="00D237AD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D237AD">
        <w:rPr>
          <w:i/>
          <w:noProof/>
          <w:lang w:val="fr-FR"/>
        </w:rPr>
        <w:t>Mol Cell Proteomics</w:t>
      </w:r>
      <w:r w:rsidRPr="00D237AD">
        <w:rPr>
          <w:noProof/>
          <w:lang w:val="fr-FR"/>
        </w:rPr>
        <w:t xml:space="preserve"> </w:t>
      </w:r>
      <w:r w:rsidRPr="00D237AD">
        <w:rPr>
          <w:b/>
          <w:noProof/>
          <w:lang w:val="fr-FR"/>
        </w:rPr>
        <w:t>11</w:t>
      </w:r>
      <w:r w:rsidRPr="00D237AD">
        <w:rPr>
          <w:noProof/>
          <w:lang w:val="fr-FR"/>
        </w:rPr>
        <w:t>, M111 014381 (2012).</w:t>
      </w:r>
    </w:p>
    <w:p w:rsidR="00D237AD" w:rsidRDefault="00D237AD" w:rsidP="00D237AD">
      <w:pPr>
        <w:spacing w:after="0" w:line="240" w:lineRule="auto"/>
        <w:ind w:left="720" w:hanging="720"/>
        <w:rPr>
          <w:noProof/>
          <w:lang w:val="nb-NO"/>
        </w:rPr>
      </w:pPr>
    </w:p>
    <w:p w:rsidR="002C4A56" w:rsidRPr="00072926" w:rsidRDefault="00AD5B47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484" w:rsidRDefault="006F2484" w:rsidP="00C22471">
      <w:pPr>
        <w:spacing w:after="0" w:line="240" w:lineRule="auto"/>
      </w:pPr>
      <w:r>
        <w:separator/>
      </w:r>
    </w:p>
  </w:endnote>
  <w:endnote w:type="continuationSeparator" w:id="0">
    <w:p w:rsidR="006F2484" w:rsidRDefault="006F248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7E8" w:rsidRPr="00305CE1" w:rsidRDefault="007F07E8" w:rsidP="007F07E8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F07E8" w:rsidP="007F07E8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AD5B47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AD5B47" w:rsidRPr="00EE5E45">
      <w:rPr>
        <w:b/>
      </w:rPr>
      <w:fldChar w:fldCharType="separate"/>
    </w:r>
    <w:r w:rsidR="00950F4C">
      <w:rPr>
        <w:b/>
        <w:noProof/>
      </w:rPr>
      <w:t>3</w:t>
    </w:r>
    <w:r w:rsidR="00AD5B47" w:rsidRPr="00EE5E45">
      <w:rPr>
        <w:b/>
      </w:rPr>
      <w:fldChar w:fldCharType="end"/>
    </w:r>
    <w:r w:rsidR="00753DBE" w:rsidRPr="00EE5E45">
      <w:t xml:space="preserve"> of </w:t>
    </w:r>
    <w:r w:rsidR="00AD5B47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AD5B47" w:rsidRPr="00EE5E45">
      <w:rPr>
        <w:b/>
      </w:rPr>
      <w:fldChar w:fldCharType="separate"/>
    </w:r>
    <w:r w:rsidR="00950F4C">
      <w:rPr>
        <w:b/>
        <w:noProof/>
      </w:rPr>
      <w:t>3</w:t>
    </w:r>
    <w:r w:rsidR="00AD5B47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484" w:rsidRDefault="006F2484" w:rsidP="00C22471">
      <w:pPr>
        <w:spacing w:after="0" w:line="240" w:lineRule="auto"/>
      </w:pPr>
      <w:r>
        <w:separator/>
      </w:r>
    </w:p>
  </w:footnote>
  <w:footnote w:type="continuationSeparator" w:id="0">
    <w:p w:rsidR="006F2484" w:rsidRDefault="006F248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E15019">
      <w:rPr>
        <w:rFonts w:cs="Calibri"/>
        <w:lang w:eastAsia="de-DE"/>
      </w:rPr>
      <w:t>3</w:t>
    </w:r>
    <w:r w:rsidR="008405FD">
      <w:rPr>
        <w:rFonts w:cs="Calibri"/>
        <w:lang w:eastAsia="de-DE"/>
      </w:rPr>
      <w:t>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79CE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366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773DF"/>
    <w:rsid w:val="00480017"/>
    <w:rsid w:val="00481CCA"/>
    <w:rsid w:val="004859CE"/>
    <w:rsid w:val="00485A47"/>
    <w:rsid w:val="00486EEF"/>
    <w:rsid w:val="00491C88"/>
    <w:rsid w:val="0049253F"/>
    <w:rsid w:val="004944FC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1E61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45D1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5E18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2484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07E8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67BF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0F4C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5381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0B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5B47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4D59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7AD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019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07BF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6A7F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A960B0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60B0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A960B0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960B0"/>
    <w:rPr>
      <w:noProof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FDC4-EF4D-4509-B1AF-9ECA9C47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856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5384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193</cp:revision>
  <cp:lastPrinted>2012-09-15T11:08:00Z</cp:lastPrinted>
  <dcterms:created xsi:type="dcterms:W3CDTF">2011-09-01T10:00:00Z</dcterms:created>
  <dcterms:modified xsi:type="dcterms:W3CDTF">2014-04-01T12:03:00Z</dcterms:modified>
</cp:coreProperties>
</file>