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bookmarkStart w:id="0" w:name="_GoBack"/>
      <w:bookmarkEnd w:id="0"/>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33476A" w:rsidP="00E12AA3">
      <w:pPr>
        <w:spacing w:after="0"/>
        <w:jc w:val="center"/>
        <w:rPr>
          <w:lang w:val="en-GB"/>
        </w:rPr>
      </w:pPr>
      <w:r>
        <w:rPr>
          <w:noProof/>
          <w:lang w:val="nb-NO" w:eastAsia="nb-NO"/>
        </w:rPr>
        <w:drawing>
          <wp:inline distT="0" distB="0" distL="0" distR="0">
            <wp:extent cx="2331973" cy="17481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381" cy="1749966"/>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922E80" w:rsidP="00E12AA3">
      <w:pPr>
        <w:spacing w:after="0"/>
        <w:jc w:val="center"/>
        <w:rPr>
          <w:lang w:val="en-GB"/>
        </w:rPr>
      </w:pPr>
      <w:r>
        <w:rPr>
          <w:noProof/>
          <w:lang w:val="nb-NO" w:eastAsia="nb-NO"/>
        </w:rPr>
        <w:drawing>
          <wp:inline distT="0" distB="0" distL="0" distR="0">
            <wp:extent cx="5220899" cy="3317916"/>
            <wp:effectExtent l="0" t="19050" r="75001" b="5393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38330" cy="332899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F26AE1"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F26AE1"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F26AE1" w:rsidRPr="00FD640D">
          <w:rPr>
            <w:lang w:val="en-GB"/>
          </w:rPr>
        </w:r>
        <w:r w:rsidR="00F26AE1" w:rsidRPr="00FD640D">
          <w:rPr>
            <w:lang w:val="en-GB"/>
          </w:rPr>
          <w:fldChar w:fldCharType="end"/>
        </w:r>
        <w:r w:rsidR="00F26AE1" w:rsidRPr="00FD640D">
          <w:rPr>
            <w:lang w:val="en-GB"/>
          </w:rPr>
        </w:r>
        <w:r w:rsidR="00F26AE1" w:rsidRPr="00FD640D">
          <w:rPr>
            <w:lang w:val="en-GB"/>
          </w:rPr>
          <w:fldChar w:fldCharType="separate"/>
        </w:r>
        <w:r w:rsidR="001415CD" w:rsidRPr="00FD640D">
          <w:rPr>
            <w:noProof/>
            <w:vertAlign w:val="superscript"/>
            <w:lang w:val="en-GB"/>
          </w:rPr>
          <w:t>1</w:t>
        </w:r>
        <w:r w:rsidR="00F26AE1"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F26AE1"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DF3D67">
        <w:rPr>
          <w:i/>
          <w:color w:val="9BBB59" w:themeColor="accent3"/>
          <w:sz w:val="20"/>
          <w:lang w:val="en-GB"/>
        </w:rPr>
        <w:t>4.3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F26AE1"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r w:rsidRPr="00361BC1">
        <w:rPr>
          <w:color w:val="4F6228" w:themeColor="accent3" w:themeShade="80"/>
          <w:lang w:val="en-GB"/>
        </w:rPr>
        <w:t>uniprot_reviewed_no-isoforms_05.06.13_concatenated_target_decoy.fasta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B964E7" w:rsidP="00361BC1">
      <w:pPr>
        <w:spacing w:after="0"/>
        <w:jc w:val="center"/>
        <w:rPr>
          <w:lang w:val="en-GB"/>
        </w:rPr>
      </w:pPr>
      <w:r>
        <w:rPr>
          <w:noProof/>
          <w:lang w:val="nb-NO" w:eastAsia="nb-NO"/>
        </w:rPr>
        <w:drawing>
          <wp:inline distT="0" distB="0" distL="0" distR="0">
            <wp:extent cx="4245666" cy="1594485"/>
            <wp:effectExtent l="0" t="19050" r="78684" b="628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251167" cy="159655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301E56" w:rsidP="00361BC1">
      <w:pPr>
        <w:spacing w:after="0"/>
        <w:jc w:val="center"/>
        <w:rPr>
          <w:lang w:val="en-GB"/>
        </w:rPr>
      </w:pPr>
      <w:r>
        <w:rPr>
          <w:noProof/>
          <w:lang w:val="nb-NO" w:eastAsia="nb-NO"/>
        </w:rPr>
        <w:drawing>
          <wp:inline distT="0" distB="0" distL="0" distR="0">
            <wp:extent cx="3473308" cy="2409355"/>
            <wp:effectExtent l="0" t="19050" r="69992" b="4809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477501" cy="241226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7000BD" w:rsidP="00361BC1">
      <w:pPr>
        <w:spacing w:after="0"/>
        <w:jc w:val="center"/>
        <w:rPr>
          <w:lang w:val="en-GB"/>
        </w:rPr>
      </w:pPr>
      <w:r>
        <w:rPr>
          <w:noProof/>
          <w:lang w:val="nb-NO" w:eastAsia="nb-NO"/>
        </w:rPr>
        <w:drawing>
          <wp:inline distT="0" distB="0" distL="0" distR="0">
            <wp:extent cx="3245081" cy="2261015"/>
            <wp:effectExtent l="0" t="19050" r="69619" b="630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49365" cy="226400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 xml:space="preserve">‘oxidation of m’, </w:t>
      </w:r>
      <w:commentRangeStart w:id="1"/>
      <w:r w:rsidR="005E1605">
        <w:rPr>
          <w:lang w:val="en-GB"/>
        </w:rPr>
        <w:t>‘</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w:t>
      </w:r>
      <w:commentRangeEnd w:id="1"/>
      <w:r w:rsidR="00EA63F0">
        <w:rPr>
          <w:rStyle w:val="CommentReference"/>
        </w:rPr>
        <w:commentReference w:id="1"/>
      </w:r>
      <w:r w:rsidR="005E1605">
        <w:rPr>
          <w:lang w:val="en-GB"/>
        </w:rPr>
        <w:t>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D5CAA" w:rsidP="005E1605">
      <w:pPr>
        <w:spacing w:after="0"/>
        <w:jc w:val="center"/>
        <w:rPr>
          <w:lang w:val="en-GB"/>
        </w:rPr>
      </w:pPr>
      <w:r>
        <w:rPr>
          <w:noProof/>
          <w:lang w:val="nb-NO" w:eastAsia="nb-NO"/>
        </w:rPr>
        <w:drawing>
          <wp:inline distT="0" distB="0" distL="0" distR="0">
            <wp:extent cx="4344382" cy="3633849"/>
            <wp:effectExtent l="0" t="19050" r="75218" b="61851"/>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339390" cy="362967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proofErr w:type="spellStart"/>
      <w:r>
        <w:rPr>
          <w:lang w:val="en-GB"/>
        </w:rPr>
        <w:t>PeptideShaker</w:t>
      </w:r>
      <w:proofErr w:type="spellEnd"/>
      <w:r>
        <w:rPr>
          <w:lang w:val="en-GB"/>
        </w:rPr>
        <w:t xml:space="preserve">’ </w:t>
      </w:r>
      <w:r w:rsidR="00DC4484">
        <w:rPr>
          <w:lang w:val="en-GB"/>
        </w:rPr>
        <w:t>under</w:t>
      </w:r>
      <w:r>
        <w:rPr>
          <w:lang w:val="en-GB"/>
        </w:rPr>
        <w:t xml:space="preserve"> post-processing and add your project details:</w:t>
      </w:r>
    </w:p>
    <w:p w:rsidR="00DC4484" w:rsidRDefault="00DC4484" w:rsidP="001415CD">
      <w:pPr>
        <w:spacing w:after="0"/>
        <w:jc w:val="both"/>
        <w:rPr>
          <w:lang w:val="en-GB"/>
        </w:rPr>
      </w:pPr>
    </w:p>
    <w:p w:rsidR="00530C09" w:rsidRDefault="00530C09" w:rsidP="001415CD">
      <w:pPr>
        <w:spacing w:after="0"/>
        <w:jc w:val="both"/>
        <w:rPr>
          <w:lang w:val="en-GB"/>
        </w:rPr>
      </w:pPr>
    </w:p>
    <w:p w:rsidR="00361BC1" w:rsidRDefault="00DC4484" w:rsidP="001415CD">
      <w:pPr>
        <w:spacing w:after="0"/>
        <w:jc w:val="center"/>
        <w:rPr>
          <w:lang w:val="en-GB"/>
        </w:rPr>
      </w:pPr>
      <w:r>
        <w:rPr>
          <w:noProof/>
          <w:lang w:val="nb-NO" w:eastAsia="nb-NO"/>
        </w:rPr>
        <w:drawing>
          <wp:inline distT="0" distB="0" distL="0" distR="0">
            <wp:extent cx="4790675" cy="3423865"/>
            <wp:effectExtent l="0" t="19050" r="67075" b="622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793042" cy="342555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Pr>
          <w:lang w:val="en-GB"/>
        </w:rPr>
        <w:t xml:space="preserve"> the chosen file.</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Finally, select an output folder for the search results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commentRangeStart w:id="2"/>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commentRangeEnd w:id="2"/>
      <w:r w:rsidR="00317C02">
        <w:rPr>
          <w:rStyle w:val="CommentReference"/>
        </w:rPr>
        <w:commentReference w:id="2"/>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commentRangeStart w:id="3"/>
      <w:r>
        <w:rPr>
          <w:lang w:val="en-GB"/>
        </w:rPr>
        <w:t>Note that the complete reprocessing of this dataset took only three minutes on a regular laptop.</w:t>
      </w:r>
      <w:commentRangeEnd w:id="3"/>
      <w:r w:rsidR="002E57FC">
        <w:rPr>
          <w:rStyle w:val="CommentReference"/>
        </w:rPr>
        <w:commentReference w:id="3"/>
      </w:r>
    </w:p>
    <w:p w:rsidR="00E35A96" w:rsidRDefault="00F26AE1">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DD11C1" w:rsidP="00E16CD5">
      <w:pPr>
        <w:spacing w:after="0"/>
        <w:jc w:val="both"/>
        <w:rPr>
          <w:lang w:val="en-GB"/>
        </w:rPr>
      </w:pPr>
      <w:r>
        <w:rPr>
          <w:noProof/>
          <w:lang w:val="nb-NO" w:eastAsia="nb-NO"/>
        </w:rPr>
        <w:drawing>
          <wp:inline distT="0" distB="0" distL="0" distR="0">
            <wp:extent cx="5669280" cy="3425190"/>
            <wp:effectExtent l="57150" t="19050" r="121920" b="800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69280" cy="342519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2031BC" w:rsidP="00E35A96">
      <w:pPr>
        <w:spacing w:after="0"/>
        <w:jc w:val="center"/>
        <w:rPr>
          <w:lang w:val="en-GB"/>
        </w:rPr>
      </w:pPr>
      <w:r>
        <w:rPr>
          <w:rStyle w:val="CommentReference"/>
        </w:rPr>
        <w:commentReference w:id="4"/>
      </w: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62618F">
        <w:rPr>
          <w:i/>
          <w:color w:val="9BBB59" w:themeColor="accent3"/>
          <w:sz w:val="20"/>
          <w:lang w:val="en-GB"/>
        </w:rPr>
        <w:t>4.3b]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xml:space="preserve">. </w:t>
      </w:r>
      <w:commentRangeStart w:id="5"/>
      <w:r>
        <w:rPr>
          <w:lang w:val="en-GB"/>
        </w:rPr>
        <w:t>For instance, you can look for a particular protein or modification.</w:t>
      </w:r>
      <w:commentRangeEnd w:id="5"/>
      <w:r w:rsidR="0060714D">
        <w:rPr>
          <w:rStyle w:val="CommentReference"/>
        </w:rPr>
        <w:commentReference w:id="5"/>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1415CD" w:rsidRDefault="001415CD" w:rsidP="001415CD">
      <w:pPr>
        <w:spacing w:after="0" w:line="240" w:lineRule="auto"/>
        <w:ind w:left="720" w:hanging="720"/>
        <w:rPr>
          <w:rFonts w:cs="Calibri"/>
          <w:lang w:val="fr-FR"/>
        </w:rPr>
      </w:pPr>
      <w:bookmarkStart w:id="6"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proofErr w:type="spellStart"/>
      <w:r w:rsidRPr="001415CD">
        <w:rPr>
          <w:rFonts w:cs="Calibri"/>
          <w:i/>
          <w:lang w:val="fr-FR"/>
        </w:rPr>
        <w:t>Proteomics</w:t>
      </w:r>
      <w:proofErr w:type="spellEnd"/>
      <w:r w:rsidRPr="001415CD">
        <w:rPr>
          <w:rFonts w:cs="Calibri"/>
          <w:lang w:val="fr-FR"/>
        </w:rPr>
        <w:t xml:space="preserve"> </w:t>
      </w:r>
      <w:r w:rsidRPr="001415CD">
        <w:rPr>
          <w:rFonts w:cs="Calibri"/>
          <w:b/>
          <w:lang w:val="fr-FR"/>
        </w:rPr>
        <w:t>5</w:t>
      </w:r>
      <w:r w:rsidRPr="001415CD">
        <w:rPr>
          <w:rFonts w:cs="Calibri"/>
          <w:lang w:val="fr-FR"/>
        </w:rPr>
        <w:t>, 3537-3545 (2005).</w:t>
      </w:r>
      <w:bookmarkEnd w:id="6"/>
    </w:p>
    <w:p w:rsidR="001415CD" w:rsidRPr="001415CD" w:rsidRDefault="001415CD" w:rsidP="001415CD">
      <w:pPr>
        <w:spacing w:after="0" w:line="240" w:lineRule="auto"/>
        <w:ind w:left="720" w:hanging="720"/>
        <w:rPr>
          <w:rFonts w:cs="Calibri"/>
        </w:rPr>
      </w:pPr>
      <w:bookmarkStart w:id="7"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7"/>
    </w:p>
    <w:p w:rsidR="001415CD" w:rsidRPr="001415CD" w:rsidRDefault="001415CD" w:rsidP="001415CD">
      <w:pPr>
        <w:spacing w:after="0" w:line="240" w:lineRule="auto"/>
        <w:ind w:left="720" w:hanging="720"/>
        <w:rPr>
          <w:rFonts w:cs="Calibri"/>
        </w:rPr>
      </w:pPr>
      <w:bookmarkStart w:id="8"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8"/>
    </w:p>
    <w:p w:rsidR="00076FE5" w:rsidRPr="00B502DC" w:rsidRDefault="001415CD" w:rsidP="00B502DC">
      <w:pPr>
        <w:spacing w:line="240" w:lineRule="auto"/>
        <w:ind w:left="720" w:hanging="720"/>
        <w:rPr>
          <w:rFonts w:cs="Calibri"/>
        </w:rPr>
      </w:pPr>
      <w:bookmarkStart w:id="9"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9"/>
    </w:p>
    <w:p w:rsidR="002C4A56" w:rsidRPr="00072926" w:rsidRDefault="002C4A56" w:rsidP="00072926">
      <w:pPr>
        <w:rPr>
          <w:lang w:val="en-GB"/>
        </w:rPr>
      </w:pPr>
    </w:p>
    <w:sectPr w:rsidR="002C4A56" w:rsidRPr="00072926"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3-06-16T02:59:00Z" w:initials="HB">
    <w:p w:rsidR="00EA63F0" w:rsidRDefault="00EA63F0">
      <w:pPr>
        <w:pStyle w:val="CommentText"/>
      </w:pPr>
      <w:r>
        <w:rPr>
          <w:rStyle w:val="CommentReference"/>
        </w:rPr>
        <w:annotationRef/>
      </w:r>
      <w:r>
        <w:t xml:space="preserve">@Marc: </w:t>
      </w:r>
      <w:r w:rsidR="00023AD9">
        <w:t>W</w:t>
      </w:r>
      <w:r>
        <w:t xml:space="preserve">hy no fixed </w:t>
      </w:r>
      <w:proofErr w:type="spellStart"/>
      <w:r>
        <w:t>ptm</w:t>
      </w:r>
      <w:proofErr w:type="spellEnd"/>
      <w:r>
        <w:t xml:space="preserve"> on the C?</w:t>
      </w:r>
    </w:p>
  </w:comment>
  <w:comment w:id="2" w:author="Harald Barsnes" w:date="2013-06-16T02:27:00Z" w:initials="HB">
    <w:p w:rsidR="00317C02" w:rsidRDefault="00317C02">
      <w:pPr>
        <w:pStyle w:val="CommentText"/>
      </w:pPr>
      <w:r>
        <w:rPr>
          <w:rStyle w:val="CommentReference"/>
        </w:rPr>
        <w:annotationRef/>
      </w:r>
      <w:r>
        <w:t xml:space="preserve">Should be replaced </w:t>
      </w:r>
      <w:r w:rsidR="007F668B">
        <w:t>by</w:t>
      </w:r>
      <w:r>
        <w:t xml:space="preserve"> one with a more subdued frame... </w:t>
      </w:r>
    </w:p>
  </w:comment>
  <w:comment w:id="3" w:author="Harald Barsnes" w:date="2013-06-16T02:28:00Z" w:initials="HB">
    <w:p w:rsidR="002E57FC" w:rsidRDefault="002E57FC">
      <w:pPr>
        <w:pStyle w:val="CommentText"/>
      </w:pPr>
      <w:r>
        <w:rPr>
          <w:rStyle w:val="CommentReference"/>
        </w:rPr>
        <w:annotationRef/>
      </w:r>
      <w:r w:rsidR="001C6335">
        <w:t>Not the case for me. Took around 15</w:t>
      </w:r>
      <w:r>
        <w:t xml:space="preserve"> min.</w:t>
      </w:r>
    </w:p>
  </w:comment>
  <w:comment w:id="4" w:author="Marc Vaudel" w:date="2013-06-10T16:01:00Z" w:initials="Marc">
    <w:p w:rsidR="002031BC" w:rsidRDefault="002031BC">
      <w:pPr>
        <w:pStyle w:val="CommentText"/>
      </w:pPr>
      <w:r>
        <w:rPr>
          <w:rStyle w:val="CommentReference"/>
        </w:rPr>
        <w:annotationRef/>
      </w:r>
      <w:r>
        <w:t>@</w:t>
      </w:r>
      <w:proofErr w:type="spellStart"/>
      <w:r>
        <w:t>Lennart</w:t>
      </w:r>
      <w:proofErr w:type="spellEnd"/>
      <w:r>
        <w:t>, would you have some screenshots of the way the data was presented when you wrote the paper?</w:t>
      </w:r>
    </w:p>
  </w:comment>
  <w:comment w:id="5" w:author="Marc Vaudel" w:date="2013-06-10T16:15:00Z" w:initials="Marc">
    <w:p w:rsidR="0060714D" w:rsidRDefault="0060714D">
      <w:pPr>
        <w:pStyle w:val="CommentText"/>
      </w:pPr>
      <w:r>
        <w:rPr>
          <w:rStyle w:val="CommentReference"/>
        </w:rPr>
        <w:annotationRef/>
      </w:r>
      <w:r>
        <w:t>Any good example? I gave a go at the recalibration but as you can see the spectra are really beautifully annotated… When looking at the non assigned spectra I guess some could be derived from peptides but the mass deviation is not what makes us blind here.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E1F" w:rsidRDefault="001B5E1F" w:rsidP="00C22471">
      <w:pPr>
        <w:spacing w:after="0" w:line="240" w:lineRule="auto"/>
      </w:pPr>
      <w:r>
        <w:separator/>
      </w:r>
    </w:p>
  </w:endnote>
  <w:endnote w:type="continuationSeparator" w:id="0">
    <w:p w:rsidR="001B5E1F" w:rsidRDefault="001B5E1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F26AE1" w:rsidRPr="00EE5E45">
      <w:rPr>
        <w:b/>
      </w:rPr>
      <w:fldChar w:fldCharType="begin"/>
    </w:r>
    <w:r w:rsidRPr="00EE5E45">
      <w:rPr>
        <w:b/>
      </w:rPr>
      <w:instrText xml:space="preserve"> PAGE </w:instrText>
    </w:r>
    <w:r w:rsidR="00F26AE1" w:rsidRPr="00EE5E45">
      <w:rPr>
        <w:b/>
      </w:rPr>
      <w:fldChar w:fldCharType="separate"/>
    </w:r>
    <w:r w:rsidR="00023AD9">
      <w:rPr>
        <w:b/>
        <w:noProof/>
      </w:rPr>
      <w:t>5</w:t>
    </w:r>
    <w:r w:rsidR="00F26AE1" w:rsidRPr="00EE5E45">
      <w:rPr>
        <w:b/>
      </w:rPr>
      <w:fldChar w:fldCharType="end"/>
    </w:r>
    <w:r w:rsidRPr="00EE5E45">
      <w:t xml:space="preserve"> of </w:t>
    </w:r>
    <w:r w:rsidR="00F26AE1" w:rsidRPr="00EE5E45">
      <w:rPr>
        <w:b/>
      </w:rPr>
      <w:fldChar w:fldCharType="begin"/>
    </w:r>
    <w:r w:rsidRPr="00EE5E45">
      <w:rPr>
        <w:b/>
      </w:rPr>
      <w:instrText xml:space="preserve"> NUMPAGES  </w:instrText>
    </w:r>
    <w:r w:rsidR="00F26AE1" w:rsidRPr="00EE5E45">
      <w:rPr>
        <w:b/>
      </w:rPr>
      <w:fldChar w:fldCharType="separate"/>
    </w:r>
    <w:r w:rsidR="00023AD9">
      <w:rPr>
        <w:b/>
        <w:noProof/>
      </w:rPr>
      <w:t>9</w:t>
    </w:r>
    <w:r w:rsidR="00F26AE1"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E1F" w:rsidRDefault="001B5E1F" w:rsidP="00C22471">
      <w:pPr>
        <w:spacing w:after="0" w:line="240" w:lineRule="auto"/>
      </w:pPr>
      <w:r>
        <w:separator/>
      </w:r>
    </w:p>
  </w:footnote>
  <w:footnote w:type="continuationSeparator" w:id="0">
    <w:p w:rsidR="001B5E1F" w:rsidRDefault="001B5E1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405FD">
      <w:rPr>
        <w:rFonts w:cs="Calibri"/>
        <w:lang w:eastAsia="de-DE"/>
      </w:rPr>
      <w:t>4.</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6243"/>
    <w:rsid w:val="006672F8"/>
    <w:rsid w:val="00667456"/>
    <w:rsid w:val="006678C9"/>
    <w:rsid w:val="0066796B"/>
    <w:rsid w:val="00667978"/>
    <w:rsid w:val="00670378"/>
    <w:rsid w:val="00671521"/>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68D2"/>
    <w:rsid w:val="00766E31"/>
    <w:rsid w:val="00766F06"/>
    <w:rsid w:val="007670DC"/>
    <w:rsid w:val="0076714E"/>
    <w:rsid w:val="00767155"/>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631C5-B67B-4AB3-88B2-EF2FFB994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866</Words>
  <Characters>4592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5448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277</cp:revision>
  <cp:lastPrinted>2012-09-15T11:08:00Z</cp:lastPrinted>
  <dcterms:created xsi:type="dcterms:W3CDTF">2011-09-01T10:00:00Z</dcterms:created>
  <dcterms:modified xsi:type="dcterms:W3CDTF">2013-06-16T01:00:00Z</dcterms:modified>
</cp:coreProperties>
</file>