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7A4683">
        <w:rPr>
          <w:lang w:val="en-GB"/>
        </w:rPr>
        <w:t xml:space="preserve">    </w:t>
      </w:r>
      <w:r w:rsidR="003025A6">
        <w:rPr>
          <w:sz w:val="24"/>
          <w:lang w:val="en-GB"/>
        </w:rPr>
        <w:t>[</w:t>
      </w:r>
      <w:r w:rsidR="00746E14">
        <w:rPr>
          <w:sz w:val="24"/>
        </w:rPr>
        <w:t>March 16</w:t>
      </w:r>
      <w:r w:rsidR="007A4683">
        <w:rPr>
          <w:sz w:val="24"/>
        </w:rPr>
        <w:t>th 2014</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8509B6"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8509B6" w:rsidRPr="00236CFE">
          <w:rPr>
            <w:lang w:val="en-GB"/>
          </w:rPr>
          <w:fldChar w:fldCharType="separate"/>
        </w:r>
        <w:r w:rsidR="00C87C42" w:rsidRPr="00236CFE">
          <w:rPr>
            <w:noProof/>
            <w:vertAlign w:val="superscript"/>
            <w:lang w:val="en-GB"/>
          </w:rPr>
          <w:t>1</w:t>
        </w:r>
        <w:r w:rsidR="008509B6"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8509B6"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8509B6" w:rsidRPr="00236CFE">
          <w:rPr>
            <w:lang w:val="en-GB"/>
          </w:rPr>
          <w:fldChar w:fldCharType="separate"/>
        </w:r>
        <w:r w:rsidR="00C87C42" w:rsidRPr="00236CFE">
          <w:rPr>
            <w:noProof/>
            <w:vertAlign w:val="superscript"/>
            <w:lang w:val="en-GB"/>
          </w:rPr>
          <w:t>2</w:t>
        </w:r>
        <w:r w:rsidR="008509B6"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8509B6"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8509B6">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236CFE">
        <w:rPr>
          <w:lang w:val="en-GB"/>
        </w:rPr>
      </w:r>
      <w:r w:rsidR="008509B6"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8509B6"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w:t>
      </w:r>
      <w:r w:rsidR="00746E14">
        <w:rPr>
          <w:lang w:val="en-GB"/>
        </w:rPr>
        <w:t>ot provides a grand total of 136 536</w:t>
      </w:r>
      <w:r w:rsidR="00CC4BC4" w:rsidRPr="00CC4BC4">
        <w:rPr>
          <w:lang w:val="en-GB"/>
        </w:rPr>
        <w:t xml:space="preserve"> protein entries for human</w:t>
      </w:r>
      <w:r w:rsidR="007E7F07">
        <w:rPr>
          <w:lang w:val="en-GB"/>
        </w:rPr>
        <w:t xml:space="preserve"> (as of </w:t>
      </w:r>
      <w:r w:rsidR="00746E14">
        <w:rPr>
          <w:lang w:val="en-GB"/>
        </w:rPr>
        <w:t>March 2014</w:t>
      </w:r>
      <w:r w:rsidR="007E7F07">
        <w:rPr>
          <w:lang w:val="en-GB"/>
        </w:rPr>
        <w:t>)</w:t>
      </w:r>
      <w:r w:rsidR="00CC4BC4" w:rsidRPr="00CC4BC4">
        <w:rPr>
          <w:lang w:val="en-GB"/>
        </w:rPr>
        <w:t>. These sequences are inferred from the sequenced genome and curated algorithmically and manually. Interestingly, the entries l</w:t>
      </w:r>
      <w:r w:rsidR="00746E14">
        <w:rPr>
          <w:lang w:val="en-GB"/>
        </w:rPr>
        <w:t>abelled with a gold star (20 271</w:t>
      </w:r>
      <w:r w:rsidR="00CC4BC4" w:rsidRPr="00CC4BC4">
        <w:rPr>
          <w:lang w:val="en-GB"/>
        </w:rPr>
        <w:t>)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UniProt, and this part of UniProt is called </w:t>
      </w:r>
      <w:r w:rsidR="00265910" w:rsidRPr="00265910">
        <w:rPr>
          <w:lang w:val="en-GB"/>
        </w:rPr>
        <w:t>TrEMBL</w:t>
      </w:r>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w:t>
      </w:r>
      <w:r w:rsidR="00746E14">
        <w:rPr>
          <w:lang w:val="en-GB"/>
        </w:rPr>
        <w:t xml:space="preserve">, large databases (&gt;100 </w:t>
      </w:r>
      <w:r w:rsidR="00CC4BC4" w:rsidRPr="00CC4BC4">
        <w:rPr>
          <w:lang w:val="en-GB"/>
        </w:rPr>
        <w:t>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Most proteins exist in various forms, with minor or major variations. UniProt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r w:rsidRPr="0097137E">
        <w:rPr>
          <w:lang w:val="en-GB"/>
        </w:rPr>
        <w:t xml:space="preserve">UniProt </w:t>
      </w:r>
      <w:r w:rsidR="00CD1C2D">
        <w:rPr>
          <w:lang w:val="en-GB"/>
        </w:rPr>
        <w:t>also</w:t>
      </w:r>
      <w:r w:rsidRPr="0097137E">
        <w:rPr>
          <w:lang w:val="en-GB"/>
        </w:rPr>
        <w:t xml:space="preserve"> provide</w:t>
      </w:r>
      <w:r w:rsidR="00CD1C2D">
        <w:rPr>
          <w:lang w:val="en-GB"/>
        </w:rPr>
        <w:t>s</w:t>
      </w:r>
      <w:r w:rsidRPr="0097137E">
        <w:rPr>
          <w:lang w:val="en-GB"/>
        </w:rPr>
        <w:t xml:space="preserve"> isoforms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r w:rsidR="00E56854">
        <w:rPr>
          <w:lang w:val="en-GB"/>
        </w:rPr>
        <w:t xml:space="preserve">centroid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g peak picking) or in centroid</w:t>
      </w:r>
      <w:r w:rsidRPr="00441547">
        <w:rPr>
          <w:lang w:val="en-GB"/>
        </w:rPr>
        <w:t xml:space="preserve"> mode (already peak picked). Depending on the instrument, using more advanced signal processing methods can improve the results.</w:t>
      </w:r>
      <w:hyperlink w:anchor="_ENREF_5" w:tooltip="Lange, 2006 #5" w:history="1">
        <w:r w:rsidR="008509B6"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8509B6" w:rsidRPr="00441547">
          <w:rPr>
            <w:lang w:val="en-GB"/>
          </w:rPr>
          <w:fldChar w:fldCharType="separate"/>
        </w:r>
        <w:r w:rsidR="00C87C42" w:rsidRPr="00C87C42">
          <w:rPr>
            <w:noProof/>
            <w:vertAlign w:val="superscript"/>
            <w:lang w:val="en-GB"/>
          </w:rPr>
          <w:t>5</w:t>
        </w:r>
        <w:r w:rsidR="008509B6"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OMSSA</w:t>
      </w:r>
      <w:r w:rsidR="004620FF">
        <w:rPr>
          <w:lang w:val="en-GB"/>
        </w:rPr>
        <w:t>,</w:t>
      </w:r>
      <w:r w:rsidR="009645B9">
        <w:rPr>
          <w:lang w:val="en-GB"/>
        </w:rPr>
        <w:t xml:space="preserve"> X!Tandem</w:t>
      </w:r>
      <w:r w:rsidR="004620FF">
        <w:rPr>
          <w:lang w:val="en-GB"/>
        </w:rPr>
        <w:t xml:space="preserve"> and MS-GF+</w:t>
      </w:r>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6" w:tooltip="Eyrich, 2011 #1" w:history="1">
        <w:r w:rsidR="008509B6"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8509B6" w:rsidRPr="004C659A">
          <w:rPr>
            <w:lang w:val="en-GB"/>
          </w:rPr>
          <w:fldChar w:fldCharType="separate"/>
        </w:r>
        <w:r w:rsidR="00C87C42" w:rsidRPr="00C87C42">
          <w:rPr>
            <w:noProof/>
            <w:vertAlign w:val="superscript"/>
            <w:lang w:val="en-GB"/>
          </w:rPr>
          <w:t>6</w:t>
        </w:r>
        <w:r w:rsidR="008509B6"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8509B6"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509B6" w:rsidRPr="004C659A">
          <w:rPr>
            <w:lang w:val="en-GB"/>
          </w:rPr>
          <w:fldChar w:fldCharType="separate"/>
        </w:r>
        <w:r w:rsidR="00C87C42" w:rsidRPr="00C87C42">
          <w:rPr>
            <w:noProof/>
            <w:vertAlign w:val="superscript"/>
            <w:lang w:val="en-GB"/>
          </w:rPr>
          <w:t>7</w:t>
        </w:r>
        <w:r w:rsidR="008509B6" w:rsidRPr="004C659A">
          <w:rPr>
            <w:lang w:val="en-GB"/>
          </w:rPr>
          <w:fldChar w:fldCharType="end"/>
        </w:r>
      </w:hyperlink>
      <w:r w:rsidRPr="004C659A">
        <w:rPr>
          <w:lang w:val="en-GB"/>
        </w:rPr>
        <w:t xml:space="preserve"> Here, searching with oxidation of methionine and </w:t>
      </w:r>
      <w:r w:rsidRPr="004C659A">
        <w:rPr>
          <w:lang w:val="en-GB"/>
        </w:rPr>
        <w:lastRenderedPageBreak/>
        <w:t xml:space="preserve">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8509B6"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8509B6" w:rsidRPr="004C659A">
          <w:rPr>
            <w:lang w:val="en-GB"/>
          </w:rPr>
          <w:fldChar w:fldCharType="separate"/>
        </w:r>
        <w:r w:rsidR="00C87C42" w:rsidRPr="00C87C42">
          <w:rPr>
            <w:noProof/>
            <w:vertAlign w:val="superscript"/>
            <w:lang w:val="en-GB"/>
          </w:rPr>
          <w:t>8</w:t>
        </w:r>
        <w:r w:rsidR="008509B6"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8509B6"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8509B6" w:rsidRPr="0006716E">
          <w:rPr>
            <w:lang w:val="en-GB"/>
          </w:rPr>
          <w:fldChar w:fldCharType="separate"/>
        </w:r>
        <w:r w:rsidR="00C87C42" w:rsidRPr="00C87C42">
          <w:rPr>
            <w:noProof/>
            <w:vertAlign w:val="superscript"/>
            <w:lang w:val="en-GB"/>
          </w:rPr>
          <w:t>9</w:t>
        </w:r>
        <w:r w:rsidR="008509B6" w:rsidRPr="0006716E">
          <w:rPr>
            <w:lang w:val="en-GB"/>
          </w:rPr>
          <w:fldChar w:fldCharType="end"/>
        </w:r>
      </w:hyperlink>
      <w:r w:rsidR="0006716E" w:rsidRPr="0006716E">
        <w:rPr>
          <w:lang w:val="en-GB"/>
        </w:rPr>
        <w:t xml:space="preserve"> some missed cleavages will always remain,</w:t>
      </w:r>
      <w:hyperlink w:anchor="_ENREF_10" w:tooltip="Fannes, 2013 #1" w:history="1">
        <w:r w:rsidR="008509B6"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8509B6" w:rsidRPr="0006716E">
          <w:rPr>
            <w:lang w:val="en-GB"/>
          </w:rPr>
          <w:fldChar w:fldCharType="separate"/>
        </w:r>
        <w:r w:rsidR="00C87C42" w:rsidRPr="00C87C42">
          <w:rPr>
            <w:noProof/>
            <w:vertAlign w:val="superscript"/>
            <w:lang w:val="en-GB"/>
          </w:rPr>
          <w:t>10</w:t>
        </w:r>
        <w:r w:rsidR="008509B6" w:rsidRPr="0006716E">
          <w:rPr>
            <w:lang w:val="en-GB"/>
          </w:rPr>
          <w:fldChar w:fldCharType="end"/>
        </w:r>
      </w:hyperlink>
      <w:r w:rsidR="0006716E" w:rsidRPr="0006716E">
        <w:rPr>
          <w:lang w:val="en-GB"/>
        </w:rPr>
        <w:t xml:space="preserve"> in our experience up to two with trypsin.</w:t>
      </w:r>
      <w:hyperlink w:anchor="_ENREF_7" w:tooltip="Vaudel, 2011 #22" w:history="1">
        <w:r w:rsidR="008509B6"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509B6" w:rsidRPr="0006716E">
          <w:rPr>
            <w:lang w:val="en-GB"/>
          </w:rPr>
          <w:fldChar w:fldCharType="separate"/>
        </w:r>
        <w:r w:rsidR="00C87C42" w:rsidRPr="00C87C42">
          <w:rPr>
            <w:noProof/>
            <w:vertAlign w:val="superscript"/>
            <w:lang w:val="en-GB"/>
          </w:rPr>
          <w:t>7</w:t>
        </w:r>
        <w:r w:rsidR="008509B6"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8509B6"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8509B6" w:rsidRPr="009D4C89">
          <w:rPr>
            <w:lang w:val="en-GB"/>
          </w:rPr>
          <w:fldChar w:fldCharType="separate"/>
        </w:r>
        <w:r w:rsidR="00C87C42" w:rsidRPr="00C87C42">
          <w:rPr>
            <w:noProof/>
            <w:vertAlign w:val="superscript"/>
            <w:lang w:val="en-GB"/>
          </w:rPr>
          <w:t>11</w:t>
        </w:r>
        <w:r w:rsidR="008509B6"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8509B6"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8509B6">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8509B6">
        <w:rPr>
          <w:lang w:val="en-GB"/>
        </w:rPr>
      </w:r>
      <w:r w:rsidR="008509B6">
        <w:rPr>
          <w:lang w:val="en-GB"/>
        </w:rPr>
        <w:fldChar w:fldCharType="end"/>
      </w:r>
      <w:r w:rsidR="008509B6" w:rsidRPr="007329B7">
        <w:rPr>
          <w:lang w:val="en-GB"/>
        </w:rPr>
      </w:r>
      <w:r w:rsidR="008509B6"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8509B6"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r w:rsidR="00CF7888" w:rsidRPr="00CF7888">
        <w:rPr>
          <w:lang w:val="en-GB"/>
        </w:rPr>
        <w:t>Ensembl</w:t>
      </w:r>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X!Tandem performs by default a quick search for protein terminal acetylation and peptide </w:t>
      </w:r>
      <w:r w:rsidR="005C2B4C">
        <w:t>pyrolidone.</w:t>
      </w:r>
      <w:r w:rsidR="005C2B4C">
        <w:rPr>
          <w:lang w:val="en-GB"/>
        </w:rPr>
        <w:t xml:space="preserve"> A</w:t>
      </w:r>
      <w:r w:rsidR="00616438" w:rsidRPr="00616438">
        <w:rPr>
          <w:lang w:val="en-GB"/>
        </w:rPr>
        <w:t xml:space="preserve">fter a standard search, X!Tandem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terminal acetylation</w:t>
      </w:r>
      <w:r w:rsidR="00616438" w:rsidRPr="00616438">
        <w:rPr>
          <w:lang w:val="en-GB"/>
        </w:rPr>
        <w:t>. SearchGUI passed this information to PeptideShaker</w:t>
      </w:r>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8509B6"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8509B6" w:rsidRPr="00616438">
          <w:rPr>
            <w:lang w:val="en-GB"/>
          </w:rPr>
          <w:fldChar w:fldCharType="separate"/>
        </w:r>
        <w:r w:rsidR="00C87C42" w:rsidRPr="00C87C42">
          <w:rPr>
            <w:noProof/>
            <w:vertAlign w:val="superscript"/>
            <w:lang w:val="en-GB"/>
          </w:rPr>
          <w:t>14</w:t>
        </w:r>
        <w:r w:rsidR="008509B6"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pyro-cmc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15" w:tooltip="Papayannopoulos, 1995 #3" w:history="1">
        <w:r w:rsidR="008509B6"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8509B6" w:rsidRPr="00B61D12">
          <w:rPr>
            <w:lang w:val="en-GB"/>
          </w:rPr>
          <w:fldChar w:fldCharType="separate"/>
        </w:r>
        <w:r w:rsidR="00C87C42" w:rsidRPr="00C87C42">
          <w:rPr>
            <w:noProof/>
            <w:vertAlign w:val="superscript"/>
            <w:lang w:val="en-GB"/>
          </w:rPr>
          <w:t>15</w:t>
        </w:r>
        <w:r w:rsidR="008509B6" w:rsidRPr="00B61D12">
          <w:rPr>
            <w:lang w:val="en-GB"/>
          </w:rPr>
          <w:fldChar w:fldCharType="end"/>
        </w:r>
      </w:hyperlink>
      <w:r w:rsidRPr="00B61D12">
        <w:rPr>
          <w:lang w:val="en-GB"/>
        </w:rPr>
        <w:t xml:space="preserve"> Some other ions presenting neutral losses are also annotated.</w:t>
      </w:r>
    </w:p>
    <w:p w:rsidR="00B61D12" w:rsidRDefault="008509B6"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16" w:tooltip="Colaert, 2011 #48" w:history="1">
        <w:r w:rsidR="008509B6"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509B6" w:rsidRPr="00E26906">
          <w:rPr>
            <w:lang w:val="en-GB"/>
          </w:rPr>
          <w:fldChar w:fldCharType="separate"/>
        </w:r>
        <w:r w:rsidR="00C87C42" w:rsidRPr="00C87C42">
          <w:rPr>
            <w:noProof/>
            <w:vertAlign w:val="superscript"/>
            <w:lang w:val="en-GB"/>
          </w:rPr>
          <w:t>16</w:t>
        </w:r>
        <w:r w:rsidR="008509B6"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An immonium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'i' in front, e.g., iF. The presence of an immonium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In our example we find the immonium ion of Phenylalanine (iF)</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X!Tandem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8509B6"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8509B6" w:rsidRPr="00536345">
          <w:rPr>
            <w:lang w:val="en-GB"/>
          </w:rPr>
          <w:fldChar w:fldCharType="separate"/>
        </w:r>
        <w:r w:rsidR="00C87C42" w:rsidRPr="00C87C42">
          <w:rPr>
            <w:noProof/>
            <w:vertAlign w:val="superscript"/>
            <w:lang w:val="en-GB"/>
          </w:rPr>
          <w:t>17</w:t>
        </w:r>
        <w:r w:rsidR="008509B6"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w:t>
      </w:r>
      <w:r w:rsidR="00554420">
        <w:rPr>
          <w:lang w:val="en-GB"/>
        </w:rPr>
        <w:t>doubtful</w:t>
      </w:r>
      <w:r w:rsidR="00F20295" w:rsidRPr="00F20295">
        <w:rPr>
          <w:lang w:val="en-GB"/>
        </w:rPr>
        <w:t xml:space="preserve"> protein identification matches is </w:t>
      </w:r>
      <w:r w:rsidR="00554420">
        <w:rPr>
          <w:lang w:val="en-GB"/>
        </w:rPr>
        <w:t>mainly</w:t>
      </w:r>
      <w:r w:rsidR="00F20295" w:rsidRPr="00F20295">
        <w:rPr>
          <w:lang w:val="en-GB"/>
        </w:rPr>
        <w:t xml:space="preserve">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w:t>
      </w:r>
      <w:r w:rsidR="00554420">
        <w:rPr>
          <w:lang w:val="en-GB"/>
        </w:rPr>
        <w:t>, simply that t</w:t>
      </w:r>
      <w:r w:rsidRPr="00F20295">
        <w:rPr>
          <w:lang w:val="en-GB"/>
        </w:rPr>
        <w:t>hey should be considered with care.</w:t>
      </w:r>
      <w:r w:rsidR="006B223C">
        <w:rPr>
          <w:lang w:val="en-GB"/>
        </w:rPr>
        <w:t xml:space="preserve"> As you can observe, PeptideShaker already flagged these matches as “doubtful” for you.</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The Enz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t>
      </w:r>
      <w:r w:rsidR="00B346A9" w:rsidRPr="00B346A9">
        <w:rPr>
          <w:lang w:val="en-GB"/>
        </w:rPr>
        <w:lastRenderedPageBreak/>
        <w:t>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18" w:tooltip="Gevaert, 2003 #3" w:history="1">
        <w:r w:rsidR="008509B6"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8509B6" w:rsidRPr="00B346A9">
          <w:rPr>
            <w:lang w:val="en-GB"/>
          </w:rPr>
          <w:fldChar w:fldCharType="separate"/>
        </w:r>
        <w:r w:rsidR="00C87C42" w:rsidRPr="00C87C42">
          <w:rPr>
            <w:noProof/>
            <w:vertAlign w:val="superscript"/>
            <w:lang w:val="en-GB"/>
          </w:rPr>
          <w:t>18</w:t>
        </w:r>
        <w:r w:rsidR="008509B6" w:rsidRPr="00B346A9">
          <w:rPr>
            <w:lang w:val="en-GB"/>
          </w:rPr>
          <w:fldChar w:fldCharType="end"/>
        </w:r>
      </w:hyperlink>
      <w:r w:rsidRPr="00B346A9">
        <w:rPr>
          <w:lang w:val="en-GB"/>
        </w:rPr>
        <w:t xml:space="preserve"> or to decipher the problem using targeted proteomics.</w:t>
      </w:r>
      <w:hyperlink w:anchor="_ENREF_19" w:tooltip="Picotti, 2012 #4" w:history="1">
        <w:r w:rsidR="008509B6"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8509B6" w:rsidRPr="00B346A9">
          <w:rPr>
            <w:lang w:val="en-GB"/>
          </w:rPr>
          <w:fldChar w:fldCharType="separate"/>
        </w:r>
        <w:r w:rsidR="00C87C42" w:rsidRPr="00C87C42">
          <w:rPr>
            <w:noProof/>
            <w:vertAlign w:val="superscript"/>
            <w:lang w:val="en-GB"/>
          </w:rPr>
          <w:t>19</w:t>
        </w:r>
        <w:r w:rsidR="008509B6"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20" w:tooltip="Martens, 2005 #1" w:history="1">
        <w:r w:rsidR="008509B6"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8509B6" w:rsidRPr="00602787">
          <w:rPr>
            <w:lang w:val="en-GB"/>
          </w:rPr>
          <w:fldChar w:fldCharType="separate"/>
        </w:r>
        <w:r w:rsidR="00C87C42" w:rsidRPr="00C87C42">
          <w:rPr>
            <w:noProof/>
            <w:vertAlign w:val="superscript"/>
            <w:lang w:val="en-GB"/>
          </w:rPr>
          <w:t>20</w:t>
        </w:r>
        <w:r w:rsidR="008509B6" w:rsidRPr="00602787">
          <w:rPr>
            <w:lang w:val="en-GB"/>
          </w:rPr>
          <w:fldChar w:fldCharType="end"/>
        </w:r>
      </w:hyperlink>
      <w:r w:rsidRPr="00602787">
        <w:rPr>
          <w:lang w:val="en-GB"/>
        </w:rPr>
        <w:t xml:space="preserve"> Both reverse and random decoy sequences were shown to perform equally well.</w:t>
      </w:r>
      <w:r w:rsidR="008509B6"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8509B6">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602787">
        <w:rPr>
          <w:lang w:val="en-GB"/>
        </w:rPr>
      </w:r>
      <w:r w:rsidR="008509B6"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8509B6"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BB56F5">
        <w:rPr>
          <w:lang w:val="en-GB"/>
        </w:rPr>
        <w:t>17</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8509B6"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509B6" w:rsidRPr="007203A9">
          <w:rPr>
            <w:lang w:val="en-GB"/>
          </w:rPr>
          <w:fldChar w:fldCharType="separate"/>
        </w:r>
        <w:r w:rsidR="00C87C42" w:rsidRPr="00C87C42">
          <w:rPr>
            <w:noProof/>
            <w:vertAlign w:val="superscript"/>
            <w:lang w:val="en-GB"/>
          </w:rPr>
          <w:t>22</w:t>
        </w:r>
        <w:r w:rsidR="008509B6"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PeptideShaker tells you that </w:t>
      </w:r>
      <w:r w:rsidR="00A9212C">
        <w:rPr>
          <w:lang w:val="en-GB"/>
        </w:rPr>
        <w:t>it estimates its</w:t>
      </w:r>
      <w:r w:rsidR="00BB56F5">
        <w:rPr>
          <w:lang w:val="en-GB"/>
        </w:rPr>
        <w:t xml:space="preserve"> minimal</w:t>
      </w:r>
      <w:r w:rsidR="00A9212C">
        <w:rPr>
          <w:lang w:val="en-GB"/>
        </w:rPr>
        <w:t xml:space="preserve"> resolution to </w:t>
      </w:r>
      <w:r w:rsidR="00BB56F5">
        <w:rPr>
          <w:lang w:val="en-GB"/>
        </w:rPr>
        <w:t>~</w:t>
      </w:r>
      <w:r w:rsidR="004D4AD6">
        <w:rPr>
          <w:lang w:val="en-GB"/>
        </w:rPr>
        <w:t>4</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4D4AD6">
        <w:rPr>
          <w:lang w:val="en-GB"/>
        </w:rPr>
        <w:t>4</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lastRenderedPageBreak/>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8509B6"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509B6" w:rsidRPr="00AB5ABB">
          <w:rPr>
            <w:lang w:val="en-GB"/>
          </w:rPr>
          <w:fldChar w:fldCharType="separate"/>
        </w:r>
        <w:r w:rsidR="00C87C42" w:rsidRPr="00C87C42">
          <w:rPr>
            <w:noProof/>
            <w:vertAlign w:val="superscript"/>
            <w:lang w:val="en-GB"/>
          </w:rPr>
          <w:t>22</w:t>
        </w:r>
        <w:r w:rsidR="008509B6"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BB56F5">
        <w:rPr>
          <w:lang w:val="en-GB"/>
        </w:rPr>
        <w:t>4.87</w:t>
      </w:r>
      <w:r w:rsidR="001F4E39" w:rsidRPr="001F4E39">
        <w:rPr>
          <w:lang w:val="en-GB"/>
        </w:rPr>
        <w:t>%, correspon</w:t>
      </w:r>
      <w:r w:rsidR="005D4773">
        <w:rPr>
          <w:lang w:val="en-GB"/>
        </w:rPr>
        <w:t xml:space="preserve">ding to an estimated FNR of </w:t>
      </w:r>
      <w:r w:rsidR="00BB56F5">
        <w:rPr>
          <w:lang w:val="en-GB"/>
        </w:rPr>
        <w:t>0.62</w:t>
      </w:r>
      <w:r w:rsidR="001F4E39" w:rsidRPr="001F4E39">
        <w:rPr>
          <w:lang w:val="en-GB"/>
        </w:rPr>
        <w:t xml:space="preserve">%. We have hence included </w:t>
      </w:r>
      <w:r w:rsidR="00D335D3">
        <w:rPr>
          <w:lang w:val="en-GB"/>
        </w:rPr>
        <w:t>52</w:t>
      </w:r>
      <w:r w:rsidR="001F4E39" w:rsidRPr="001F4E39">
        <w:rPr>
          <w:lang w:val="en-GB"/>
        </w:rPr>
        <w:t xml:space="preserve"> false positives to rescue </w:t>
      </w:r>
      <w:r w:rsidR="00D335D3">
        <w:rPr>
          <w:lang w:val="en-GB"/>
        </w:rPr>
        <w:t>45</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D335D3">
        <w:rPr>
          <w:lang w:val="en-GB"/>
        </w:rPr>
        <w:t>8</w:t>
      </w:r>
      <w:r w:rsidR="005B53B1">
        <w:rPr>
          <w:lang w:val="en-GB"/>
        </w:rPr>
        <w:t xml:space="preserve">%. Note that setting a threshold of 95% confidence with </w:t>
      </w:r>
      <w:r w:rsidR="00AD18CD">
        <w:rPr>
          <w:lang w:val="en-GB"/>
        </w:rPr>
        <w:t>4</w:t>
      </w:r>
      <w:r w:rsidR="005B53B1">
        <w:rPr>
          <w:lang w:val="en-GB"/>
        </w:rPr>
        <w:t xml:space="preserve"> percentage point estimation accuracy </w:t>
      </w:r>
      <w:r w:rsidR="00CE25E6">
        <w:rPr>
          <w:lang w:val="en-GB"/>
        </w:rPr>
        <w:t>means that you are actually using a confidence between 91 and 99%</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8509B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509B6">
          <w:rPr>
            <w:lang w:val="en-GB"/>
          </w:rPr>
          <w:fldChar w:fldCharType="separate"/>
        </w:r>
        <w:r w:rsidR="00C87C42" w:rsidRPr="00C87C42">
          <w:rPr>
            <w:noProof/>
            <w:vertAlign w:val="superscript"/>
            <w:lang w:val="en-GB"/>
          </w:rPr>
          <w:t>16</w:t>
        </w:r>
        <w:r w:rsidR="008509B6">
          <w:rPr>
            <w:lang w:val="en-GB"/>
          </w:rPr>
          <w:fldChar w:fldCharType="end"/>
        </w:r>
      </w:hyperlink>
      <w:r w:rsidR="00C87C42">
        <w:rPr>
          <w:lang w:val="en-GB"/>
        </w:rPr>
        <w:t xml:space="preserve"> </w:t>
      </w:r>
      <w:r w:rsidR="00557673">
        <w:rPr>
          <w:lang w:val="en-GB"/>
        </w:rPr>
        <w:t>Consequently, only high quality hits are hence kept for further investigation. For example, one typically expects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multimeric protein complexes inside the </w:t>
      </w:r>
      <w:r w:rsidR="00356781" w:rsidRPr="00356781">
        <w:rPr>
          <w:lang w:val="en-GB"/>
        </w:rPr>
        <w:t>endoplasmic reticulum</w:t>
      </w:r>
      <w:r w:rsidR="00435C0F" w:rsidRPr="00435C0F">
        <w:rPr>
          <w:lang w:val="en-GB"/>
        </w:rPr>
        <w:t xml:space="preserve">” and was found in these </w:t>
      </w:r>
      <w:r w:rsidR="00435C0F" w:rsidRPr="00435C0F">
        <w:rPr>
          <w:lang w:val="en-GB"/>
        </w:rPr>
        <w:lastRenderedPageBreak/>
        <w:t>subcellular locations: “Endoplasmic reticulum lumen. Melanosome. Cytoplasm.”. Note that more information is given in the “Ontologies”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In the Significance plot all the green bars represent GO terms that are significantly more frequent in the example dataset compare to Ensembl, while red bars represent GO terms that are significantly less frequent in the example dataset compare to Ensembl.</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r w:rsidR="00F95393" w:rsidRPr="006B2E6A">
        <w:t>Hypergeometric test</w:t>
      </w:r>
      <w:r w:rsidR="00F95393">
        <w:t xml:space="preserve"> </w:t>
      </w:r>
      <w:r w:rsidR="00F95393">
        <w:rPr>
          <w:lang w:val="en-GB"/>
        </w:rPr>
        <w:t>used to compare the two groups rely on the fact that the selection of protein to compare against the distribution in Ensembl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HeLa sample with the HeLa term, everyone searching “HeLa” will be able to find your dataset. A good annotation is also vital for dataset understanding and reprocessing: it will allow other scientists to know which modifications you have been looking for, which mass tolerances </w:t>
      </w:r>
      <w:r>
        <w:rPr>
          <w:lang w:val="en-GB"/>
        </w:rPr>
        <w:lastRenderedPageBreak/>
        <w:t>and which database. Note that PeptideShaker</w:t>
      </w:r>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r>
        <w:rPr>
          <w:b/>
          <w:lang w:val="en-GB"/>
        </w:rPr>
        <w:t>[3</w:t>
      </w:r>
      <w:r w:rsidR="002E6894">
        <w:rPr>
          <w:b/>
          <w:lang w:val="en-GB"/>
        </w:rPr>
        <w:t>.1</w:t>
      </w:r>
      <w:r w:rsidR="00C42671">
        <w:rPr>
          <w:b/>
          <w:lang w:val="en-GB"/>
        </w:rPr>
        <w:t>b</w:t>
      </w:r>
      <w:r w:rsidR="00576265" w:rsidRPr="00CC4BC4">
        <w:rPr>
          <w:b/>
          <w:lang w:val="en-GB"/>
        </w:rPr>
        <w:t>]</w:t>
      </w:r>
      <w:r w:rsidR="00576265">
        <w:rPr>
          <w:b/>
          <w:lang w:val="en-GB"/>
        </w:rPr>
        <w:tab/>
      </w:r>
      <w:r w:rsidR="00576265" w:rsidRPr="00576265">
        <w:rPr>
          <w:lang w:val="en-GB"/>
        </w:rPr>
        <w:t xml:space="preserve">If you happen to have a complex project combining different PeptideShaker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[3.1c</w:t>
      </w:r>
      <w:r w:rsidRPr="00CC4BC4">
        <w:rPr>
          <w:b/>
          <w:lang w:val="en-GB"/>
        </w:rPr>
        <w:t>]</w:t>
      </w:r>
      <w:r>
        <w:rPr>
          <w:b/>
          <w:lang w:val="en-GB"/>
        </w:rPr>
        <w:tab/>
      </w:r>
      <w:r>
        <w:rPr>
          <w:lang w:val="en-GB"/>
        </w:rPr>
        <w:t>This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r w:rsidR="003E39FE">
        <w:rPr>
          <w:lang w:val="en-GB"/>
        </w:rPr>
        <w:t xml:space="preserve">PeptideShaker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using the same annotation as in PeptideShaker.</w:t>
      </w:r>
      <w:r w:rsidR="00D254A7" w:rsidRPr="00D254A7">
        <w:rPr>
          <w:lang w:val="en-GB"/>
        </w:rPr>
        <w:t xml:space="preserve"> </w:t>
      </w:r>
    </w:p>
    <w:p w:rsidR="00576265" w:rsidRDefault="00D254A7" w:rsidP="00AE40FE">
      <w:pPr>
        <w:jc w:val="both"/>
        <w:rPr>
          <w:lang w:val="en-GB"/>
        </w:rPr>
      </w:pPr>
      <w:r>
        <w:rPr>
          <w:b/>
          <w:lang w:val="en-GB"/>
        </w:rPr>
        <w:t>[3.1d</w:t>
      </w:r>
      <w:r w:rsidRPr="00CC4BC4">
        <w:rPr>
          <w:b/>
          <w:lang w:val="en-GB"/>
        </w:rPr>
        <w:t>]</w:t>
      </w:r>
      <w:r>
        <w:rPr>
          <w:b/>
          <w:lang w:val="en-GB"/>
        </w:rPr>
        <w:tab/>
      </w:r>
      <w:r>
        <w:rPr>
          <w:lang w:val="en-GB"/>
        </w:rPr>
        <w:t>A public dataset is freely available to everyone and advertised on the ProteomeXchange webpage.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PeptideShaker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PeptideShaker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lastRenderedPageBreak/>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8509B6"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8509B6">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B84EC7">
          <w:rPr>
            <w:lang w:val="en-GB"/>
          </w:rPr>
        </w:r>
        <w:r w:rsidR="008509B6" w:rsidRPr="00B84EC7">
          <w:rPr>
            <w:lang w:val="en-GB"/>
          </w:rPr>
          <w:fldChar w:fldCharType="separate"/>
        </w:r>
        <w:r w:rsidR="00C87C42" w:rsidRPr="00C87C42">
          <w:rPr>
            <w:noProof/>
            <w:vertAlign w:val="superscript"/>
            <w:lang w:val="en-GB"/>
          </w:rPr>
          <w:t>23</w:t>
        </w:r>
        <w:r w:rsidR="008509B6"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UniProt.</w:t>
      </w:r>
      <w:hyperlink w:anchor="_ENREF_24" w:tooltip="Griss, 2011 #6" w:history="1">
        <w:r w:rsidR="008509B6"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8509B6" w:rsidRPr="00B84EC7">
          <w:rPr>
            <w:lang w:val="en-GB"/>
          </w:rPr>
          <w:fldChar w:fldCharType="separate"/>
        </w:r>
        <w:r w:rsidR="00C87C42" w:rsidRPr="00C87C42">
          <w:rPr>
            <w:noProof/>
            <w:vertAlign w:val="superscript"/>
            <w:lang w:val="en-GB"/>
          </w:rPr>
          <w:t>24</w:t>
        </w:r>
        <w:r w:rsidR="008509B6"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8509B6"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8509B6">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8509B6">
          <w:rPr>
            <w:lang w:val="en-GB"/>
          </w:rPr>
        </w:r>
        <w:r w:rsidR="008509B6">
          <w:rPr>
            <w:lang w:val="en-GB"/>
          </w:rPr>
          <w:fldChar w:fldCharType="end"/>
        </w:r>
        <w:r w:rsidR="008509B6" w:rsidRPr="00B84EC7">
          <w:rPr>
            <w:lang w:val="en-GB"/>
          </w:rPr>
        </w:r>
        <w:r w:rsidR="008509B6" w:rsidRPr="00B84EC7">
          <w:rPr>
            <w:lang w:val="en-GB"/>
          </w:rPr>
          <w:fldChar w:fldCharType="separate"/>
        </w:r>
        <w:r w:rsidR="00C87C42" w:rsidRPr="00C87C42">
          <w:rPr>
            <w:noProof/>
            <w:vertAlign w:val="superscript"/>
            <w:lang w:val="en-GB"/>
          </w:rPr>
          <w:t>25</w:t>
        </w:r>
        <w:r w:rsidR="008509B6"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5E7804">
        <w:rPr>
          <w:lang w:val="en-GB"/>
        </w:rPr>
        <w:t>Validation</w:t>
      </w:r>
      <w:r w:rsidRPr="00AB3D30">
        <w:rPr>
          <w:lang w:val="en-GB"/>
        </w:rPr>
        <w:t xml:space="preserve"> tab, you will see that </w:t>
      </w:r>
      <w:r w:rsidR="006E7067">
        <w:rPr>
          <w:lang w:val="en-GB"/>
        </w:rPr>
        <w:t>183</w:t>
      </w:r>
      <w:r w:rsidR="005E7804">
        <w:rPr>
          <w:lang w:val="en-GB"/>
        </w:rPr>
        <w:t>5</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6E7067">
        <w:rPr>
          <w:lang w:val="en-GB"/>
        </w:rPr>
        <w:t>51.5</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385 protein groups were validated at 1% FDR, among them 164 were marked as confident.</w:t>
      </w:r>
      <w:bookmarkStart w:id="0" w:name="_GoBack"/>
      <w:bookmarkEnd w:id="0"/>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lastRenderedPageBreak/>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This example consists of a single Q Exactive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 xml:space="preserve">out by the </w:t>
      </w:r>
      <w:r>
        <w:rPr>
          <w:lang w:val="en-GB"/>
        </w:rPr>
        <w:lastRenderedPageBreak/>
        <w:t>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The four iTRAQ labels are all isobaric, meaning that they have the mass and thus appear as identical in the MS1 spectrum. When trying possible amino acid modifications for the peptide to spectrum matches it is therefore enough to only include one of the iTRAQ modifications, as a match against one of them will also match all the others. And at the MS1 level, i.e., when finding the mass of the precursor, this is all we need. (Note that the iTRAQ labels, unlike TMT, are not truly isobaric though, as the chemical modifications used to generate the different labels differ slightly. This is not usually an issue, but with the ever increasing accuracy of the instruments, there will come a time when iTRAQ labels can no longer be considered as isobaric.)</w:t>
      </w:r>
    </w:p>
    <w:p w:rsidR="00C64237" w:rsidRDefault="00C64237" w:rsidP="00C64237">
      <w:pPr>
        <w:jc w:val="both"/>
        <w:rPr>
          <w:lang w:val="en-GB"/>
        </w:rPr>
      </w:pPr>
      <w:r>
        <w:rPr>
          <w:lang w:val="en-GB"/>
        </w:rPr>
        <w:t>The iTRAQ labelling is considered as variable on the Y, because experiments have shown that it modifies the Y's in roughly 50% of the cases. While the iTRAQ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All the spectra matching to a given peptide should have similar iTRAQ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iTRAQ peak intensities. However, there will be slight differences between peptides and because of this it is therefore important to have data from more than a single peptide when using iTRAQ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w:t>
      </w:r>
      <w:r>
        <w:rPr>
          <w:lang w:val="en-GB"/>
        </w:rPr>
        <w:lastRenderedPageBreak/>
        <w:t>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Beta-galactosidase</w:t>
      </w:r>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MS1 Labeling</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8509B6"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1"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1"/>
    </w:p>
    <w:p w:rsidR="00C87C42" w:rsidRPr="00C87C42" w:rsidRDefault="00C87C42" w:rsidP="00C87C42">
      <w:pPr>
        <w:pStyle w:val="EndNoteBibliography"/>
        <w:spacing w:after="0"/>
        <w:ind w:left="720" w:hanging="720"/>
      </w:pPr>
      <w:bookmarkStart w:id="2"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2"/>
    </w:p>
    <w:p w:rsidR="00C87C42" w:rsidRPr="00C87C42" w:rsidRDefault="00C87C42" w:rsidP="00C87C42">
      <w:pPr>
        <w:pStyle w:val="EndNoteBibliography"/>
        <w:spacing w:after="0"/>
        <w:ind w:left="720" w:hanging="720"/>
      </w:pPr>
      <w:bookmarkStart w:id="3"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3"/>
    </w:p>
    <w:p w:rsidR="00C87C42" w:rsidRPr="00C87C42" w:rsidRDefault="00C87C42" w:rsidP="00C87C42">
      <w:pPr>
        <w:pStyle w:val="EndNoteBibliography"/>
        <w:spacing w:after="0"/>
        <w:ind w:left="720" w:hanging="720"/>
      </w:pPr>
      <w:bookmarkStart w:id="4"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4"/>
    </w:p>
    <w:p w:rsidR="00C87C42" w:rsidRPr="00C87C42" w:rsidRDefault="00C87C42" w:rsidP="00C87C42">
      <w:pPr>
        <w:pStyle w:val="EndNoteBibliography"/>
        <w:spacing w:after="0"/>
        <w:ind w:left="720" w:hanging="720"/>
      </w:pPr>
      <w:bookmarkStart w:id="5"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5"/>
    </w:p>
    <w:p w:rsidR="00C87C42" w:rsidRPr="00C87C42" w:rsidRDefault="00C87C42" w:rsidP="00C87C42">
      <w:pPr>
        <w:pStyle w:val="EndNoteBibliography"/>
        <w:spacing w:after="0"/>
        <w:ind w:left="720" w:hanging="720"/>
      </w:pPr>
      <w:bookmarkStart w:id="6"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6"/>
    </w:p>
    <w:p w:rsidR="00C87C42" w:rsidRPr="00C87C42" w:rsidRDefault="00C87C42" w:rsidP="00C87C42">
      <w:pPr>
        <w:pStyle w:val="EndNoteBibliography"/>
        <w:spacing w:after="0"/>
        <w:ind w:left="720" w:hanging="720"/>
      </w:pPr>
      <w:bookmarkStart w:id="7"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7"/>
    </w:p>
    <w:p w:rsidR="00C87C42" w:rsidRPr="00C87C42" w:rsidRDefault="00C87C42" w:rsidP="00C87C42">
      <w:pPr>
        <w:pStyle w:val="EndNoteBibliography"/>
        <w:spacing w:after="0"/>
        <w:ind w:left="720" w:hanging="720"/>
      </w:pPr>
      <w:bookmarkStart w:id="8"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8"/>
    </w:p>
    <w:p w:rsidR="00C87C42" w:rsidRPr="00C87C42" w:rsidRDefault="00C87C42" w:rsidP="00C87C42">
      <w:pPr>
        <w:pStyle w:val="EndNoteBibliography"/>
        <w:spacing w:after="0"/>
        <w:ind w:left="720" w:hanging="720"/>
      </w:pPr>
      <w:bookmarkStart w:id="9"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9"/>
    </w:p>
    <w:p w:rsidR="00C87C42" w:rsidRPr="00C87C42" w:rsidRDefault="00C87C42" w:rsidP="00C87C42">
      <w:pPr>
        <w:pStyle w:val="EndNoteBibliography"/>
        <w:spacing w:after="0"/>
        <w:ind w:left="720" w:hanging="720"/>
      </w:pPr>
      <w:bookmarkStart w:id="10"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0"/>
    </w:p>
    <w:p w:rsidR="00C87C42" w:rsidRPr="00C87C42" w:rsidRDefault="00C87C42" w:rsidP="00C87C42">
      <w:pPr>
        <w:pStyle w:val="EndNoteBibliography"/>
        <w:spacing w:after="0"/>
        <w:ind w:left="720" w:hanging="720"/>
      </w:pPr>
      <w:bookmarkStart w:id="11"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1"/>
    </w:p>
    <w:p w:rsidR="00C87C42" w:rsidRPr="00C87C42" w:rsidRDefault="00C87C42" w:rsidP="00C87C42">
      <w:pPr>
        <w:pStyle w:val="EndNoteBibliography"/>
        <w:spacing w:after="0"/>
        <w:ind w:left="720" w:hanging="720"/>
      </w:pPr>
      <w:bookmarkStart w:id="12"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2"/>
    </w:p>
    <w:p w:rsidR="00C87C42" w:rsidRPr="00C87C42" w:rsidRDefault="00C87C42" w:rsidP="00C87C42">
      <w:pPr>
        <w:pStyle w:val="EndNoteBibliography"/>
        <w:spacing w:after="0"/>
        <w:ind w:left="720" w:hanging="720"/>
      </w:pPr>
      <w:bookmarkStart w:id="13"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3"/>
    </w:p>
    <w:p w:rsidR="00C87C42" w:rsidRPr="00C87C42" w:rsidRDefault="00C87C42" w:rsidP="00C87C42">
      <w:pPr>
        <w:pStyle w:val="EndNoteBibliography"/>
        <w:spacing w:after="0"/>
        <w:ind w:left="720" w:hanging="720"/>
      </w:pPr>
      <w:bookmarkStart w:id="14"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4"/>
    </w:p>
    <w:p w:rsidR="00C87C42" w:rsidRPr="00C87C42" w:rsidRDefault="00C87C42" w:rsidP="00C87C42">
      <w:pPr>
        <w:pStyle w:val="EndNoteBibliography"/>
        <w:spacing w:after="0"/>
        <w:ind w:left="720" w:hanging="720"/>
      </w:pPr>
      <w:bookmarkStart w:id="15"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5"/>
    </w:p>
    <w:p w:rsidR="00C87C42" w:rsidRPr="00C87C42" w:rsidRDefault="00C87C42" w:rsidP="00C87C42">
      <w:pPr>
        <w:pStyle w:val="EndNoteBibliography"/>
        <w:spacing w:after="0"/>
        <w:ind w:left="720" w:hanging="720"/>
      </w:pPr>
      <w:bookmarkStart w:id="16"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6"/>
    </w:p>
    <w:p w:rsidR="00C87C42" w:rsidRPr="00C87C42" w:rsidRDefault="00C87C42" w:rsidP="00C87C42">
      <w:pPr>
        <w:pStyle w:val="EndNoteBibliography"/>
        <w:spacing w:after="0"/>
        <w:ind w:left="720" w:hanging="720"/>
      </w:pPr>
      <w:bookmarkStart w:id="17"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7"/>
    </w:p>
    <w:p w:rsidR="00C87C42" w:rsidRPr="00C87C42" w:rsidRDefault="00C87C42" w:rsidP="00C87C42">
      <w:pPr>
        <w:pStyle w:val="EndNoteBibliography"/>
        <w:spacing w:after="0"/>
        <w:ind w:left="720" w:hanging="720"/>
      </w:pPr>
      <w:bookmarkStart w:id="18"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8"/>
    </w:p>
    <w:p w:rsidR="00C87C42" w:rsidRPr="00C87C42" w:rsidRDefault="00C87C42" w:rsidP="00C87C42">
      <w:pPr>
        <w:pStyle w:val="EndNoteBibliography"/>
        <w:spacing w:after="0"/>
        <w:ind w:left="720" w:hanging="720"/>
      </w:pPr>
      <w:bookmarkStart w:id="19"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19"/>
    </w:p>
    <w:p w:rsidR="00C87C42" w:rsidRPr="00C87C42" w:rsidRDefault="00C87C42" w:rsidP="00C87C42">
      <w:pPr>
        <w:pStyle w:val="EndNoteBibliography"/>
        <w:spacing w:after="0"/>
        <w:ind w:left="720" w:hanging="720"/>
      </w:pPr>
      <w:bookmarkStart w:id="20"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0"/>
    </w:p>
    <w:p w:rsidR="00C87C42" w:rsidRPr="00C87C42" w:rsidRDefault="00C87C42" w:rsidP="00C87C42">
      <w:pPr>
        <w:pStyle w:val="EndNoteBibliography"/>
        <w:spacing w:after="0"/>
        <w:ind w:left="720" w:hanging="720"/>
      </w:pPr>
      <w:bookmarkStart w:id="21"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1"/>
    </w:p>
    <w:p w:rsidR="00C87C42" w:rsidRPr="00C87C42" w:rsidRDefault="00C87C42" w:rsidP="00C87C42">
      <w:pPr>
        <w:pStyle w:val="EndNoteBibliography"/>
        <w:spacing w:after="0"/>
        <w:ind w:left="720" w:hanging="720"/>
      </w:pPr>
      <w:bookmarkStart w:id="22"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2"/>
    </w:p>
    <w:p w:rsidR="00C87C42" w:rsidRPr="00C87C42" w:rsidRDefault="00C87C42" w:rsidP="00C87C42">
      <w:pPr>
        <w:pStyle w:val="EndNoteBibliography"/>
        <w:spacing w:after="0"/>
        <w:ind w:left="720" w:hanging="720"/>
      </w:pPr>
      <w:bookmarkStart w:id="23"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3"/>
    </w:p>
    <w:p w:rsidR="00C87C42" w:rsidRPr="00C87C42" w:rsidRDefault="00C87C42" w:rsidP="00C87C42">
      <w:pPr>
        <w:pStyle w:val="EndNoteBibliography"/>
        <w:spacing w:after="0"/>
        <w:ind w:left="720" w:hanging="720"/>
      </w:pPr>
      <w:bookmarkStart w:id="24"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4"/>
    </w:p>
    <w:p w:rsidR="00C87C42" w:rsidRPr="00C87C42" w:rsidRDefault="00C87C42" w:rsidP="00C87C42">
      <w:pPr>
        <w:pStyle w:val="EndNoteBibliography"/>
        <w:ind w:left="720" w:hanging="720"/>
      </w:pPr>
      <w:bookmarkStart w:id="25"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5"/>
    </w:p>
    <w:p w:rsidR="00236CFE" w:rsidRPr="005F1639" w:rsidRDefault="008509B6"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CE9" w:rsidRDefault="006F4CE9" w:rsidP="00C22471">
      <w:pPr>
        <w:spacing w:after="0" w:line="240" w:lineRule="auto"/>
      </w:pPr>
      <w:r>
        <w:separator/>
      </w:r>
    </w:p>
  </w:endnote>
  <w:endnote w:type="continuationSeparator" w:id="0">
    <w:p w:rsidR="006F4CE9" w:rsidRDefault="006F4CE9"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8509B6" w:rsidRPr="00EE5E45">
      <w:rPr>
        <w:b/>
      </w:rPr>
      <w:fldChar w:fldCharType="begin"/>
    </w:r>
    <w:r w:rsidRPr="00EE5E45">
      <w:rPr>
        <w:b/>
      </w:rPr>
      <w:instrText xml:space="preserve"> PAGE </w:instrText>
    </w:r>
    <w:r w:rsidR="008509B6" w:rsidRPr="00EE5E45">
      <w:rPr>
        <w:b/>
      </w:rPr>
      <w:fldChar w:fldCharType="separate"/>
    </w:r>
    <w:r w:rsidR="004620FF">
      <w:rPr>
        <w:b/>
        <w:noProof/>
      </w:rPr>
      <w:t>2</w:t>
    </w:r>
    <w:r w:rsidR="008509B6" w:rsidRPr="00EE5E45">
      <w:rPr>
        <w:b/>
      </w:rPr>
      <w:fldChar w:fldCharType="end"/>
    </w:r>
    <w:r w:rsidRPr="00EE5E45">
      <w:t xml:space="preserve"> of </w:t>
    </w:r>
    <w:r w:rsidR="008509B6" w:rsidRPr="00EE5E45">
      <w:rPr>
        <w:b/>
      </w:rPr>
      <w:fldChar w:fldCharType="begin"/>
    </w:r>
    <w:r w:rsidRPr="00EE5E45">
      <w:rPr>
        <w:b/>
      </w:rPr>
      <w:instrText xml:space="preserve"> NUMPAGES  </w:instrText>
    </w:r>
    <w:r w:rsidR="008509B6" w:rsidRPr="00EE5E45">
      <w:rPr>
        <w:b/>
      </w:rPr>
      <w:fldChar w:fldCharType="separate"/>
    </w:r>
    <w:r w:rsidR="004620FF">
      <w:rPr>
        <w:b/>
        <w:noProof/>
      </w:rPr>
      <w:t>19</w:t>
    </w:r>
    <w:r w:rsidR="008509B6"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CE9" w:rsidRDefault="006F4CE9" w:rsidP="00C22471">
      <w:pPr>
        <w:spacing w:after="0" w:line="240" w:lineRule="auto"/>
      </w:pPr>
      <w:r>
        <w:separator/>
      </w:r>
    </w:p>
  </w:footnote>
  <w:footnote w:type="continuationSeparator" w:id="0">
    <w:p w:rsidR="006F4CE9" w:rsidRDefault="006F4CE9"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CE9"/>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4" type="connector" idref="#_x0000_s1065"/>
        <o:r id="V:Rule35" type="connector" idref="#_x0000_s1077"/>
        <o:r id="V:Rule36" type="connector" idref="#_x0000_s1054"/>
        <o:r id="V:Rule37" type="connector" idref="#_x0000_s1093"/>
        <o:r id="V:Rule38" type="connector" idref="#_x0000_s1072"/>
        <o:r id="V:Rule39" type="connector" idref="#_x0000_s1087"/>
        <o:r id="V:Rule40" type="connector" idref="#_x0000_s1088"/>
        <o:r id="V:Rule41" type="connector" idref="#_x0000_s1095"/>
        <o:r id="V:Rule42" type="connector" idref="#_x0000_s1069"/>
        <o:r id="V:Rule43" type="connector" idref="#_x0000_s1063"/>
        <o:r id="V:Rule44" type="connector" idref="#_x0000_s1089"/>
        <o:r id="V:Rule45" type="connector" idref="#_x0000_s1080"/>
        <o:r id="V:Rule46" type="connector" idref="#_x0000_s1056"/>
        <o:r id="V:Rule47" type="connector" idref="#_x0000_s1068"/>
        <o:r id="V:Rule48" type="connector" idref="#_x0000_s1081"/>
        <o:r id="V:Rule49" type="connector" idref="#_x0000_s1091"/>
        <o:r id="V:Rule50" type="connector" idref="#_x0000_s1096"/>
        <o:r id="V:Rule51" type="connector" idref="#_x0000_s1075"/>
        <o:r id="V:Rule52" type="connector" idref="#_x0000_s1073"/>
        <o:r id="V:Rule53" type="connector" idref="#_x0000_s1092"/>
        <o:r id="V:Rule54" type="connector" idref="#_x0000_s1052"/>
        <o:r id="V:Rule55" type="connector" idref="#_x0000_s1079"/>
        <o:r id="V:Rule56" type="connector" idref="#_x0000_s1053"/>
        <o:r id="V:Rule57" type="connector" idref="#_x0000_s1083"/>
        <o:r id="V:Rule58" type="connector" idref="#_x0000_s1064"/>
        <o:r id="V:Rule59" type="connector" idref="#_x0000_s1057"/>
        <o:r id="V:Rule60" type="connector" idref="#_x0000_s1067"/>
        <o:r id="V:Rule61" type="connector" idref="#_x0000_s1084"/>
        <o:r id="V:Rule62" type="connector" idref="#_x0000_s1055"/>
        <o:r id="V:Rule63" type="connector" idref="#_x0000_s1085"/>
        <o:r id="V:Rule64" type="connector" idref="#_x0000_s1071"/>
        <o:r id="V:Rule65" type="connector" idref="#_x0000_s1097"/>
        <o:r id="V:Rule66"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6BCCD-8222-46B8-9C46-7D3A5312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19</Pages>
  <Words>12990</Words>
  <Characters>68848</Characters>
  <Application>Microsoft Office Word</Application>
  <DocSecurity>0</DocSecurity>
  <Lines>573</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81675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601</cp:revision>
  <cp:lastPrinted>2013-09-20T14:05:00Z</cp:lastPrinted>
  <dcterms:created xsi:type="dcterms:W3CDTF">2011-09-01T10:00:00Z</dcterms:created>
  <dcterms:modified xsi:type="dcterms:W3CDTF">2014-03-28T14:45:00Z</dcterms:modified>
</cp:coreProperties>
</file>