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3025A6">
        <w:rPr>
          <w:sz w:val="24"/>
          <w:lang w:val="en-GB"/>
        </w:rPr>
        <w:t>[</w:t>
      </w:r>
      <w:r w:rsidR="007E7F07">
        <w:rPr>
          <w:sz w:val="24"/>
        </w:rPr>
        <w:t>December 10</w:t>
      </w:r>
      <w:r w:rsidR="003025A6" w:rsidRPr="003025A6">
        <w:rPr>
          <w:sz w:val="24"/>
        </w:rPr>
        <w:t>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C87C42"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C87C42" w:rsidRPr="00236CFE">
          <w:rPr>
            <w:lang w:val="en-GB"/>
          </w:rPr>
          <w:fldChar w:fldCharType="separate"/>
        </w:r>
        <w:r w:rsidR="00C87C42" w:rsidRPr="00236CFE">
          <w:rPr>
            <w:noProof/>
            <w:vertAlign w:val="superscript"/>
            <w:lang w:val="en-GB"/>
          </w:rPr>
          <w:t>1</w:t>
        </w:r>
        <w:r w:rsidR="00C87C42"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C87C42"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C87C42" w:rsidRPr="00236CFE">
          <w:rPr>
            <w:lang w:val="en-GB"/>
          </w:rPr>
          <w:fldChar w:fldCharType="separate"/>
        </w:r>
        <w:r w:rsidR="00C87C42" w:rsidRPr="00236CFE">
          <w:rPr>
            <w:noProof/>
            <w:vertAlign w:val="superscript"/>
            <w:lang w:val="en-GB"/>
          </w:rPr>
          <w:t>2</w:t>
        </w:r>
        <w:r w:rsidR="00C87C42"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0938D0"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C87C42">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C87C42">
        <w:rPr>
          <w:lang w:val="en-GB"/>
        </w:rPr>
      </w:r>
      <w:r w:rsidR="00C87C42">
        <w:rPr>
          <w:lang w:val="en-GB"/>
        </w:rPr>
        <w:fldChar w:fldCharType="end"/>
      </w:r>
      <w:r w:rsidR="000938D0" w:rsidRPr="00236CFE">
        <w:rPr>
          <w:lang w:val="en-GB"/>
        </w:rPr>
      </w:r>
      <w:r w:rsidR="000938D0"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0938D0"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w:t>
      </w:r>
      <w:r w:rsidR="003025A6">
        <w:rPr>
          <w:lang w:val="en-GB"/>
        </w:rPr>
        <w:t>350</w:t>
      </w:r>
      <w:r w:rsidR="00CC4BC4" w:rsidRPr="00CC4BC4">
        <w:rPr>
          <w:lang w:val="en-GB"/>
        </w:rPr>
        <w:t xml:space="preserve"> protein entries for human</w:t>
      </w:r>
      <w:r w:rsidR="007E7F07">
        <w:rPr>
          <w:lang w:val="en-GB"/>
        </w:rPr>
        <w:t xml:space="preserve"> (as of October 2013)</w:t>
      </w:r>
      <w:r w:rsidR="00CC4BC4" w:rsidRPr="00CC4BC4">
        <w:rPr>
          <w:lang w:val="en-GB"/>
        </w:rPr>
        <w:t>. These sequences are inferred from the sequenced genome and curated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Most proteins exist in various forms, with minor or major variations. UniProt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r w:rsidRPr="0097137E">
        <w:rPr>
          <w:lang w:val="en-GB"/>
        </w:rPr>
        <w:t xml:space="preserve">UniProt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C87C42"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C87C42" w:rsidRPr="00441547">
          <w:rPr>
            <w:lang w:val="en-GB"/>
          </w:rPr>
          <w:fldChar w:fldCharType="separate"/>
        </w:r>
        <w:r w:rsidR="00C87C42" w:rsidRPr="00C87C42">
          <w:rPr>
            <w:noProof/>
            <w:vertAlign w:val="superscript"/>
            <w:lang w:val="en-GB"/>
          </w:rPr>
          <w:t>5</w:t>
        </w:r>
        <w:r w:rsidR="00C87C42"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C87C42"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C87C42" w:rsidRPr="004C659A">
          <w:rPr>
            <w:lang w:val="en-GB"/>
          </w:rPr>
          <w:fldChar w:fldCharType="separate"/>
        </w:r>
        <w:r w:rsidR="00C87C42" w:rsidRPr="00C87C42">
          <w:rPr>
            <w:noProof/>
            <w:vertAlign w:val="superscript"/>
            <w:lang w:val="en-GB"/>
          </w:rPr>
          <w:t>6</w:t>
        </w:r>
        <w:r w:rsidR="00C87C42"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C87C42"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C87C42" w:rsidRPr="004C659A">
          <w:rPr>
            <w:lang w:val="en-GB"/>
          </w:rPr>
          <w:fldChar w:fldCharType="separate"/>
        </w:r>
        <w:r w:rsidR="00C87C42" w:rsidRPr="00C87C42">
          <w:rPr>
            <w:noProof/>
            <w:vertAlign w:val="superscript"/>
            <w:lang w:val="en-GB"/>
          </w:rPr>
          <w:t>7</w:t>
        </w:r>
        <w:r w:rsidR="00C87C42" w:rsidRPr="004C659A">
          <w:rPr>
            <w:lang w:val="en-GB"/>
          </w:rPr>
          <w:fldChar w:fldCharType="end"/>
        </w:r>
      </w:hyperlink>
      <w:r w:rsidRPr="004C659A">
        <w:rPr>
          <w:lang w:val="en-GB"/>
        </w:rPr>
        <w:t xml:space="preserve"> Here, searching with oxidation of methionine and </w:t>
      </w:r>
      <w:r w:rsidRPr="004C659A">
        <w:rPr>
          <w:lang w:val="en-GB"/>
        </w:rPr>
        <w:lastRenderedPageBreak/>
        <w:t xml:space="preserve">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C87C42"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C87C42" w:rsidRPr="004C659A">
          <w:rPr>
            <w:lang w:val="en-GB"/>
          </w:rPr>
          <w:fldChar w:fldCharType="separate"/>
        </w:r>
        <w:r w:rsidR="00C87C42" w:rsidRPr="00C87C42">
          <w:rPr>
            <w:noProof/>
            <w:vertAlign w:val="superscript"/>
            <w:lang w:val="en-GB"/>
          </w:rPr>
          <w:t>8</w:t>
        </w:r>
        <w:r w:rsidR="00C87C42"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C87C42"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C87C42" w:rsidRPr="0006716E">
          <w:rPr>
            <w:lang w:val="en-GB"/>
          </w:rPr>
          <w:fldChar w:fldCharType="separate"/>
        </w:r>
        <w:r w:rsidR="00C87C42" w:rsidRPr="00C87C42">
          <w:rPr>
            <w:noProof/>
            <w:vertAlign w:val="superscript"/>
            <w:lang w:val="en-GB"/>
          </w:rPr>
          <w:t>9</w:t>
        </w:r>
        <w:r w:rsidR="00C87C42" w:rsidRPr="0006716E">
          <w:rPr>
            <w:lang w:val="en-GB"/>
          </w:rPr>
          <w:fldChar w:fldCharType="end"/>
        </w:r>
      </w:hyperlink>
      <w:r w:rsidR="0006716E" w:rsidRPr="0006716E">
        <w:rPr>
          <w:lang w:val="en-GB"/>
        </w:rPr>
        <w:t xml:space="preserve"> some missed cleavages will always remain,</w:t>
      </w:r>
      <w:hyperlink w:anchor="_ENREF_10" w:tooltip="Fannes, 2013 #1" w:history="1">
        <w:r w:rsidR="00C87C42"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C87C42" w:rsidRPr="0006716E">
          <w:rPr>
            <w:lang w:val="en-GB"/>
          </w:rPr>
          <w:fldChar w:fldCharType="separate"/>
        </w:r>
        <w:r w:rsidR="00C87C42" w:rsidRPr="00C87C42">
          <w:rPr>
            <w:noProof/>
            <w:vertAlign w:val="superscript"/>
            <w:lang w:val="en-GB"/>
          </w:rPr>
          <w:t>10</w:t>
        </w:r>
        <w:r w:rsidR="00C87C42" w:rsidRPr="0006716E">
          <w:rPr>
            <w:lang w:val="en-GB"/>
          </w:rPr>
          <w:fldChar w:fldCharType="end"/>
        </w:r>
      </w:hyperlink>
      <w:r w:rsidR="0006716E" w:rsidRPr="0006716E">
        <w:rPr>
          <w:lang w:val="en-GB"/>
        </w:rPr>
        <w:t xml:space="preserve"> in our experience up to two with trypsin.</w:t>
      </w:r>
      <w:hyperlink w:anchor="_ENREF_7" w:tooltip="Vaudel, 2011 #22" w:history="1">
        <w:r w:rsidR="00C87C42"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C87C42" w:rsidRPr="0006716E">
          <w:rPr>
            <w:lang w:val="en-GB"/>
          </w:rPr>
          <w:fldChar w:fldCharType="separate"/>
        </w:r>
        <w:r w:rsidR="00C87C42" w:rsidRPr="00C87C42">
          <w:rPr>
            <w:noProof/>
            <w:vertAlign w:val="superscript"/>
            <w:lang w:val="en-GB"/>
          </w:rPr>
          <w:t>7</w:t>
        </w:r>
        <w:r w:rsidR="00C87C42"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C87C42"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C87C42" w:rsidRPr="009D4C89">
          <w:rPr>
            <w:lang w:val="en-GB"/>
          </w:rPr>
          <w:fldChar w:fldCharType="separate"/>
        </w:r>
        <w:r w:rsidR="00C87C42" w:rsidRPr="00C87C42">
          <w:rPr>
            <w:noProof/>
            <w:vertAlign w:val="superscript"/>
            <w:lang w:val="en-GB"/>
          </w:rPr>
          <w:t>11</w:t>
        </w:r>
        <w:r w:rsidR="00C87C42"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0938D0"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C87C42">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C87C42">
        <w:rPr>
          <w:lang w:val="en-GB"/>
        </w:rPr>
      </w:r>
      <w:r w:rsidR="00C87C42">
        <w:rPr>
          <w:lang w:val="en-GB"/>
        </w:rPr>
        <w:fldChar w:fldCharType="end"/>
      </w:r>
      <w:r w:rsidR="000938D0" w:rsidRPr="007329B7">
        <w:rPr>
          <w:lang w:val="en-GB"/>
        </w:rPr>
      </w:r>
      <w:r w:rsidR="000938D0"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0938D0"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9"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X!Tandem performs by default a quick search for protein terminal acetylation and peptide </w:t>
      </w:r>
      <w:r w:rsidR="005C2B4C">
        <w:t>pyrolidone.</w:t>
      </w:r>
      <w:r w:rsidR="005C2B4C">
        <w:rPr>
          <w:lang w:val="en-GB"/>
        </w:rPr>
        <w:t xml:space="preserve"> A</w:t>
      </w:r>
      <w:r w:rsidR="00616438" w:rsidRPr="00616438">
        <w:rPr>
          <w:lang w:val="en-GB"/>
        </w:rPr>
        <w:t xml:space="preserve">fter a standard search, X!Tandem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SearchGUI passed this information to PeptideShaker</w:t>
      </w:r>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C87C42"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C87C42" w:rsidRPr="00616438">
          <w:rPr>
            <w:lang w:val="en-GB"/>
          </w:rPr>
          <w:fldChar w:fldCharType="separate"/>
        </w:r>
        <w:r w:rsidR="00C87C42" w:rsidRPr="00C87C42">
          <w:rPr>
            <w:noProof/>
            <w:vertAlign w:val="superscript"/>
            <w:lang w:val="en-GB"/>
          </w:rPr>
          <w:t>14</w:t>
        </w:r>
        <w:r w:rsidR="00C87C42"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15" w:tooltip="Papayannopoulos, 1995 #3" w:history="1">
        <w:r w:rsidR="00C87C42"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C87C42" w:rsidRPr="00B61D12">
          <w:rPr>
            <w:lang w:val="en-GB"/>
          </w:rPr>
          <w:fldChar w:fldCharType="separate"/>
        </w:r>
        <w:r w:rsidR="00C87C42" w:rsidRPr="00C87C42">
          <w:rPr>
            <w:noProof/>
            <w:vertAlign w:val="superscript"/>
            <w:lang w:val="en-GB"/>
          </w:rPr>
          <w:t>15</w:t>
        </w:r>
        <w:r w:rsidR="00C87C42" w:rsidRPr="00B61D12">
          <w:rPr>
            <w:lang w:val="en-GB"/>
          </w:rPr>
          <w:fldChar w:fldCharType="end"/>
        </w:r>
      </w:hyperlink>
      <w:r w:rsidRPr="00B61D12">
        <w:rPr>
          <w:lang w:val="en-GB"/>
        </w:rPr>
        <w:t xml:space="preserve"> Some other ions presenting neutral losses are also annotated.</w:t>
      </w:r>
    </w:p>
    <w:p w:rsidR="00B61D12" w:rsidRDefault="00651AA1"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16" w:tooltip="Colaert, 2011 #48" w:history="1">
        <w:r w:rsidR="00C87C42"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C87C42" w:rsidRPr="00E26906">
          <w:rPr>
            <w:lang w:val="en-GB"/>
          </w:rPr>
          <w:fldChar w:fldCharType="separate"/>
        </w:r>
        <w:r w:rsidR="00C87C42" w:rsidRPr="00C87C42">
          <w:rPr>
            <w:noProof/>
            <w:vertAlign w:val="superscript"/>
            <w:lang w:val="en-GB"/>
          </w:rPr>
          <w:t>16</w:t>
        </w:r>
        <w:r w:rsidR="00C87C42"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An immonium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'i' in front, e.g., iF. The presence of an immonium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In our example we find the immonium ion of Phenylalanine (iF)</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C87C42"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C87C42" w:rsidRPr="00536345">
          <w:rPr>
            <w:lang w:val="en-GB"/>
          </w:rPr>
          <w:fldChar w:fldCharType="separate"/>
        </w:r>
        <w:r w:rsidR="00C87C42" w:rsidRPr="00C87C42">
          <w:rPr>
            <w:noProof/>
            <w:vertAlign w:val="superscript"/>
            <w:lang w:val="en-GB"/>
          </w:rPr>
          <w:t>17</w:t>
        </w:r>
        <w:r w:rsidR="00C87C42"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validated false protein identification matches is solely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r w:rsidR="006B223C">
        <w:rPr>
          <w:lang w:val="en-GB"/>
        </w:rPr>
        <w:t xml:space="preserve"> As you can observe, PeptideShaker already flagged these matches as “doubtful” for you.</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10"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The Enz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18" w:tooltip="Gevaert, 2003 #3" w:history="1">
        <w:r w:rsidR="00C87C42"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C87C42" w:rsidRPr="00B346A9">
          <w:rPr>
            <w:lang w:val="en-GB"/>
          </w:rPr>
          <w:fldChar w:fldCharType="separate"/>
        </w:r>
        <w:r w:rsidR="00C87C42" w:rsidRPr="00C87C42">
          <w:rPr>
            <w:noProof/>
            <w:vertAlign w:val="superscript"/>
            <w:lang w:val="en-GB"/>
          </w:rPr>
          <w:t>18</w:t>
        </w:r>
        <w:r w:rsidR="00C87C42" w:rsidRPr="00B346A9">
          <w:rPr>
            <w:lang w:val="en-GB"/>
          </w:rPr>
          <w:fldChar w:fldCharType="end"/>
        </w:r>
      </w:hyperlink>
      <w:r w:rsidRPr="00B346A9">
        <w:rPr>
          <w:lang w:val="en-GB"/>
        </w:rPr>
        <w:t xml:space="preserve"> or to decipher the problem using targeted proteomics.</w:t>
      </w:r>
      <w:hyperlink w:anchor="_ENREF_19" w:tooltip="Picotti, 2012 #4" w:history="1">
        <w:r w:rsidR="00C87C42"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C87C42" w:rsidRPr="00B346A9">
          <w:rPr>
            <w:lang w:val="en-GB"/>
          </w:rPr>
          <w:fldChar w:fldCharType="separate"/>
        </w:r>
        <w:r w:rsidR="00C87C42" w:rsidRPr="00C87C42">
          <w:rPr>
            <w:noProof/>
            <w:vertAlign w:val="superscript"/>
            <w:lang w:val="en-GB"/>
          </w:rPr>
          <w:t>19</w:t>
        </w:r>
        <w:r w:rsidR="00C87C42"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20" w:tooltip="Martens, 2005 #1" w:history="1">
        <w:r w:rsidR="00C87C42"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C87C42" w:rsidRPr="00602787">
          <w:rPr>
            <w:lang w:val="en-GB"/>
          </w:rPr>
          <w:fldChar w:fldCharType="separate"/>
        </w:r>
        <w:r w:rsidR="00C87C42" w:rsidRPr="00C87C42">
          <w:rPr>
            <w:noProof/>
            <w:vertAlign w:val="superscript"/>
            <w:lang w:val="en-GB"/>
          </w:rPr>
          <w:t>20</w:t>
        </w:r>
        <w:r w:rsidR="00C87C42" w:rsidRPr="00602787">
          <w:rPr>
            <w:lang w:val="en-GB"/>
          </w:rPr>
          <w:fldChar w:fldCharType="end"/>
        </w:r>
      </w:hyperlink>
      <w:r w:rsidRPr="00602787">
        <w:rPr>
          <w:lang w:val="en-GB"/>
        </w:rPr>
        <w:t xml:space="preserve"> Both reverse and random decoy sequences were shown to perform equally well.</w:t>
      </w:r>
      <w:r w:rsidR="000938D0"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C87C42">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C87C42">
        <w:rPr>
          <w:lang w:val="en-GB"/>
        </w:rPr>
      </w:r>
      <w:r w:rsidR="00C87C42">
        <w:rPr>
          <w:lang w:val="en-GB"/>
        </w:rPr>
        <w:fldChar w:fldCharType="end"/>
      </w:r>
      <w:r w:rsidR="000938D0" w:rsidRPr="00602787">
        <w:rPr>
          <w:lang w:val="en-GB"/>
        </w:rPr>
      </w:r>
      <w:r w:rsidR="000938D0"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0938D0"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C87C42"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C87C42" w:rsidRPr="007203A9">
          <w:rPr>
            <w:lang w:val="en-GB"/>
          </w:rPr>
          <w:fldChar w:fldCharType="separate"/>
        </w:r>
        <w:r w:rsidR="00C87C42" w:rsidRPr="00C87C42">
          <w:rPr>
            <w:noProof/>
            <w:vertAlign w:val="superscript"/>
            <w:lang w:val="en-GB"/>
          </w:rPr>
          <w:t>22</w:t>
        </w:r>
        <w:r w:rsidR="00C87C42"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lastRenderedPageBreak/>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C87C42"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C87C42" w:rsidRPr="00AB5ABB">
          <w:rPr>
            <w:lang w:val="en-GB"/>
          </w:rPr>
          <w:fldChar w:fldCharType="separate"/>
        </w:r>
        <w:r w:rsidR="00C87C42" w:rsidRPr="00C87C42">
          <w:rPr>
            <w:noProof/>
            <w:vertAlign w:val="superscript"/>
            <w:lang w:val="en-GB"/>
          </w:rPr>
          <w:t>22</w:t>
        </w:r>
        <w:r w:rsidR="00C87C42"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C87C42">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C87C42">
          <w:rPr>
            <w:lang w:val="en-GB"/>
          </w:rPr>
          <w:fldChar w:fldCharType="separate"/>
        </w:r>
        <w:r w:rsidR="00C87C42" w:rsidRPr="00C87C42">
          <w:rPr>
            <w:noProof/>
            <w:vertAlign w:val="superscript"/>
            <w:lang w:val="en-GB"/>
          </w:rPr>
          <w:t>16</w:t>
        </w:r>
        <w:r w:rsidR="00C87C42">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multimeric protein complexes inside the </w:t>
      </w:r>
      <w:r w:rsidR="00356781" w:rsidRPr="00356781">
        <w:rPr>
          <w:lang w:val="en-GB"/>
        </w:rPr>
        <w:t>endoplasmic reticulum</w:t>
      </w:r>
      <w:r w:rsidR="00435C0F" w:rsidRPr="00435C0F">
        <w:rPr>
          <w:lang w:val="en-GB"/>
        </w:rPr>
        <w:t xml:space="preserve">” and was found in these </w:t>
      </w:r>
      <w:r w:rsidR="00435C0F" w:rsidRPr="00435C0F">
        <w:rPr>
          <w:lang w:val="en-GB"/>
        </w:rPr>
        <w:lastRenderedPageBreak/>
        <w:t>subcellular locations: “Endoplasmic reticulum lumen. Melanosome. Cytoplasm.”.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HeLa sample with the HeLa term, everyone searching “HeLa” will be able to find your dataset. A good annotation is also vital for dataset understanding and reprocessing: it will allow other scientists to know which modifications you have been looking for, which mass tolerances </w:t>
      </w:r>
      <w:r>
        <w:rPr>
          <w:lang w:val="en-GB"/>
        </w:rPr>
        <w:lastRenderedPageBreak/>
        <w:t>and which database. Note that PeptideShaker</w:t>
      </w:r>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w:t>
      </w:r>
      <w:r>
        <w:rPr>
          <w:b/>
          <w:lang w:val="en-GB"/>
        </w:rPr>
        <w:t>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r w:rsidR="003E39FE">
        <w:rPr>
          <w:lang w:val="en-GB"/>
        </w:rPr>
        <w:t xml:space="preserve">PeptideShaker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using the same annotation as in PeptideShaker.</w:t>
      </w:r>
      <w:r w:rsidR="00D254A7" w:rsidRPr="00D254A7">
        <w:rPr>
          <w:lang w:val="en-GB"/>
        </w:rPr>
        <w:t xml:space="preserve"> </w:t>
      </w:r>
    </w:p>
    <w:p w:rsidR="00576265" w:rsidRDefault="00D254A7" w:rsidP="00AE40FE">
      <w:pPr>
        <w:jc w:val="both"/>
        <w:rPr>
          <w:lang w:val="en-GB"/>
        </w:rPr>
      </w:pPr>
      <w:r>
        <w:rPr>
          <w:b/>
          <w:lang w:val="en-GB"/>
        </w:rPr>
        <w:t>[3.1</w:t>
      </w:r>
      <w:r>
        <w:rPr>
          <w:b/>
          <w:lang w:val="en-GB"/>
        </w:rPr>
        <w:t>d</w:t>
      </w:r>
      <w:r w:rsidRPr="00CC4BC4">
        <w:rPr>
          <w:b/>
          <w:lang w:val="en-GB"/>
        </w:rPr>
        <w:t>]</w:t>
      </w:r>
      <w:r>
        <w:rPr>
          <w:b/>
          <w:lang w:val="en-GB"/>
        </w:rPr>
        <w:tab/>
      </w:r>
      <w:r>
        <w:rPr>
          <w:lang w:val="en-GB"/>
        </w:rPr>
        <w:t>A public dataset is freely available to everyone and advertised on the ProteomeXchange webpage</w:t>
      </w:r>
      <w:r>
        <w:rPr>
          <w:lang w:val="en-GB"/>
        </w:rPr>
        <w:t>.</w:t>
      </w:r>
      <w:r>
        <w:rPr>
          <w:lang w:val="en-GB"/>
        </w:rPr>
        <w:t xml:space="preserv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lastRenderedPageBreak/>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C87C42"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C87C42">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C87C42">
          <w:rPr>
            <w:lang w:val="en-GB"/>
          </w:rPr>
        </w:r>
        <w:r w:rsidR="00C87C42">
          <w:rPr>
            <w:lang w:val="en-GB"/>
          </w:rPr>
          <w:fldChar w:fldCharType="end"/>
        </w:r>
        <w:r w:rsidR="00C87C42" w:rsidRPr="00B84EC7">
          <w:rPr>
            <w:lang w:val="en-GB"/>
          </w:rPr>
        </w:r>
        <w:r w:rsidR="00C87C42" w:rsidRPr="00B84EC7">
          <w:rPr>
            <w:lang w:val="en-GB"/>
          </w:rPr>
          <w:fldChar w:fldCharType="separate"/>
        </w:r>
        <w:r w:rsidR="00C87C42" w:rsidRPr="00C87C42">
          <w:rPr>
            <w:noProof/>
            <w:vertAlign w:val="superscript"/>
            <w:lang w:val="en-GB"/>
          </w:rPr>
          <w:t>23</w:t>
        </w:r>
        <w:r w:rsidR="00C87C42"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24" w:tooltip="Griss, 2011 #6" w:history="1">
        <w:r w:rsidR="00C87C42"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C87C42" w:rsidRPr="00B84EC7">
          <w:rPr>
            <w:lang w:val="en-GB"/>
          </w:rPr>
          <w:fldChar w:fldCharType="separate"/>
        </w:r>
        <w:r w:rsidR="00C87C42" w:rsidRPr="00C87C42">
          <w:rPr>
            <w:noProof/>
            <w:vertAlign w:val="superscript"/>
            <w:lang w:val="en-GB"/>
          </w:rPr>
          <w:t>24</w:t>
        </w:r>
        <w:r w:rsidR="00C87C42"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C87C42"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C87C42">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C87C42">
          <w:rPr>
            <w:lang w:val="en-GB"/>
          </w:rPr>
        </w:r>
        <w:r w:rsidR="00C87C42">
          <w:rPr>
            <w:lang w:val="en-GB"/>
          </w:rPr>
          <w:fldChar w:fldCharType="end"/>
        </w:r>
        <w:r w:rsidR="00C87C42" w:rsidRPr="00B84EC7">
          <w:rPr>
            <w:lang w:val="en-GB"/>
          </w:rPr>
        </w:r>
        <w:r w:rsidR="00C87C42" w:rsidRPr="00B84EC7">
          <w:rPr>
            <w:lang w:val="en-GB"/>
          </w:rPr>
          <w:fldChar w:fldCharType="separate"/>
        </w:r>
        <w:r w:rsidR="00C87C42" w:rsidRPr="00C87C42">
          <w:rPr>
            <w:noProof/>
            <w:vertAlign w:val="superscript"/>
            <w:lang w:val="en-GB"/>
          </w:rPr>
          <w:t>25</w:t>
        </w:r>
        <w:r w:rsidR="00C87C42"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0" w:name="_GoBack"/>
      <w:bookmarkEnd w:id="0"/>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lastRenderedPageBreak/>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 xml:space="preserve">out by the </w:t>
      </w:r>
      <w:r>
        <w:rPr>
          <w:lang w:val="en-GB"/>
        </w:rPr>
        <w:lastRenderedPageBreak/>
        <w:t>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The four iTRAQ labels are all isobaric, meaning that they have the mass and thus appear as identical in the MS1 spectrum. 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C64237" w:rsidRDefault="00C64237" w:rsidP="00C64237">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All the spectra matching to a given peptide should have similar iTRAQ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iTRAQ peak intensities. However, there will be slight differences between peptides and because of this it is therefore important to have data from more than a single peptide when using iTRAQ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w:t>
      </w:r>
      <w:r>
        <w:rPr>
          <w:lang w:val="en-GB"/>
        </w:rPr>
        <w:lastRenderedPageBreak/>
        <w:t>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Beta-galactosidase</w:t>
      </w:r>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MS1 Labeling</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0938D0"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0938D0"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AA1" w:rsidRDefault="00651AA1" w:rsidP="00C22471">
      <w:pPr>
        <w:spacing w:after="0" w:line="240" w:lineRule="auto"/>
      </w:pPr>
      <w:r>
        <w:separator/>
      </w:r>
    </w:p>
  </w:endnote>
  <w:endnote w:type="continuationSeparator" w:id="0">
    <w:p w:rsidR="00651AA1" w:rsidRDefault="00651AA1"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Pr="00EE5E45">
      <w:rPr>
        <w:b/>
      </w:rPr>
      <w:fldChar w:fldCharType="begin"/>
    </w:r>
    <w:r w:rsidRPr="00EE5E45">
      <w:rPr>
        <w:b/>
      </w:rPr>
      <w:instrText xml:space="preserve"> PAGE </w:instrText>
    </w:r>
    <w:r w:rsidRPr="00EE5E45">
      <w:rPr>
        <w:b/>
      </w:rPr>
      <w:fldChar w:fldCharType="separate"/>
    </w:r>
    <w:r w:rsidR="005E7804">
      <w:rPr>
        <w:b/>
        <w:noProof/>
      </w:rPr>
      <w:t>14</w:t>
    </w:r>
    <w:r w:rsidRPr="00EE5E45">
      <w:rPr>
        <w:b/>
      </w:rPr>
      <w:fldChar w:fldCharType="end"/>
    </w:r>
    <w:r w:rsidRPr="00EE5E45">
      <w:t xml:space="preserve"> of </w:t>
    </w:r>
    <w:r w:rsidRPr="00EE5E45">
      <w:rPr>
        <w:b/>
      </w:rPr>
      <w:fldChar w:fldCharType="begin"/>
    </w:r>
    <w:r w:rsidRPr="00EE5E45">
      <w:rPr>
        <w:b/>
      </w:rPr>
      <w:instrText xml:space="preserve"> NUMPAGES  </w:instrText>
    </w:r>
    <w:r w:rsidRPr="00EE5E45">
      <w:rPr>
        <w:b/>
      </w:rPr>
      <w:fldChar w:fldCharType="separate"/>
    </w:r>
    <w:r w:rsidR="005E7804">
      <w:rPr>
        <w:b/>
        <w:noProof/>
      </w:rPr>
      <w:t>19</w:t>
    </w:r>
    <w:r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AA1" w:rsidRDefault="00651AA1" w:rsidP="00C22471">
      <w:pPr>
        <w:spacing w:after="0" w:line="240" w:lineRule="auto"/>
      </w:pPr>
      <w:r>
        <w:separator/>
      </w:r>
    </w:p>
  </w:footnote>
  <w:footnote w:type="continuationSeparator" w:id="0">
    <w:p w:rsidR="00651AA1" w:rsidRDefault="00651AA1"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93"/>
        <o:r id="V:Rule2" type="connector" idref="#_x0000_s1055"/>
        <o:r id="V:Rule3" type="connector" idref="#_x0000_s1064"/>
        <o:r id="V:Rule4" type="connector" idref="#_x0000_s1084"/>
        <o:r id="V:Rule5" type="connector" idref="#_x0000_s1083"/>
        <o:r id="V:Rule6" type="connector" idref="#_x0000_s1063"/>
        <o:r id="V:Rule7" type="connector" idref="#_x0000_s1054"/>
        <o:r id="V:Rule8" type="connector" idref="#_x0000_s1097"/>
        <o:r id="V:Rule9" type="connector" idref="#_x0000_s1053"/>
        <o:r id="V:Rule10" type="connector" idref="#_x0000_s1089"/>
        <o:r id="V:Rule11" type="connector" idref="#_x0000_s1069"/>
        <o:r id="V:Rule12" type="connector" idref="#_x0000_s1092"/>
        <o:r id="V:Rule13" type="connector" idref="#_x0000_s1080"/>
        <o:r id="V:Rule14" type="connector" idref="#_x0000_s1057"/>
        <o:r id="V:Rule15" type="connector" idref="#_x0000_s1065"/>
        <o:r id="V:Rule16" type="connector" idref="#_x0000_s1073"/>
        <o:r id="V:Rule17" type="connector" idref="#_x0000_s1087"/>
        <o:r id="V:Rule18" type="connector" idref="#_x0000_s1071"/>
        <o:r id="V:Rule19" type="connector" idref="#_x0000_s1081"/>
        <o:r id="V:Rule20" type="connector" idref="#_x0000_s1072"/>
        <o:r id="V:Rule21" type="connector" idref="#_x0000_s1067"/>
        <o:r id="V:Rule22" type="connector" idref="#_x0000_s1088"/>
        <o:r id="V:Rule23" type="connector" idref="#_x0000_s1052"/>
        <o:r id="V:Rule24" type="connector" idref="#_x0000_s1076"/>
        <o:r id="V:Rule25" type="connector" idref="#_x0000_s1077"/>
        <o:r id="V:Rule26" type="connector" idref="#_x0000_s1075"/>
        <o:r id="V:Rule27" type="connector" idref="#_x0000_s1091"/>
        <o:r id="V:Rule28" type="connector" idref="#_x0000_s1096"/>
        <o:r id="V:Rule29" type="connector" idref="#_x0000_s1079"/>
        <o:r id="V:Rule30" type="connector" idref="#_x0000_s1095"/>
        <o:r id="V:Rule31" type="connector" idref="#_x0000_s1068"/>
        <o:r id="V:Rule32" type="connector" idref="#_x0000_s1085"/>
        <o:r id="V:Rule33"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ypergeometric_te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C1A6A-C8C8-4504-86D7-7F5B596F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19</Pages>
  <Words>12223</Words>
  <Characters>69672</Characters>
  <Application>Microsoft Office Word</Application>
  <DocSecurity>0</DocSecurity>
  <Lines>580</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81732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596</cp:revision>
  <cp:lastPrinted>2013-09-20T14:05:00Z</cp:lastPrinted>
  <dcterms:created xsi:type="dcterms:W3CDTF">2011-09-01T10:00:00Z</dcterms:created>
  <dcterms:modified xsi:type="dcterms:W3CDTF">2014-01-06T18:21:00Z</dcterms:modified>
</cp:coreProperties>
</file>