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3025A6">
        <w:rPr>
          <w:sz w:val="24"/>
          <w:lang w:val="en-GB"/>
        </w:rPr>
        <w:t>[</w:t>
      </w:r>
      <w:r w:rsidR="0039770F">
        <w:rPr>
          <w:sz w:val="24"/>
        </w:rPr>
        <w:t>January 8</w:t>
      </w:r>
      <w:r w:rsidR="007A4683">
        <w:rPr>
          <w:sz w:val="24"/>
        </w:rPr>
        <w:t>th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2814B7"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2814B7" w:rsidRPr="00236CFE">
          <w:rPr>
            <w:lang w:val="en-GB"/>
          </w:rPr>
          <w:fldChar w:fldCharType="separate"/>
        </w:r>
        <w:r w:rsidR="00C87C42" w:rsidRPr="00236CFE">
          <w:rPr>
            <w:noProof/>
            <w:vertAlign w:val="superscript"/>
            <w:lang w:val="en-GB"/>
          </w:rPr>
          <w:t>1</w:t>
        </w:r>
        <w:r w:rsidR="002814B7"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2814B7"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2814B7" w:rsidRPr="00236CFE">
          <w:rPr>
            <w:lang w:val="en-GB"/>
          </w:rPr>
          <w:fldChar w:fldCharType="separate"/>
        </w:r>
        <w:r w:rsidR="00C87C42" w:rsidRPr="00236CFE">
          <w:rPr>
            <w:noProof/>
            <w:vertAlign w:val="superscript"/>
            <w:lang w:val="en-GB"/>
          </w:rPr>
          <w:t>2</w:t>
        </w:r>
        <w:r w:rsidR="002814B7"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2814B7"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2814B7">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2814B7">
        <w:rPr>
          <w:lang w:val="en-GB"/>
        </w:rPr>
      </w:r>
      <w:r w:rsidR="002814B7">
        <w:rPr>
          <w:lang w:val="en-GB"/>
        </w:rPr>
        <w:fldChar w:fldCharType="end"/>
      </w:r>
      <w:r w:rsidR="002814B7" w:rsidRPr="00236CFE">
        <w:rPr>
          <w:lang w:val="en-GB"/>
        </w:rPr>
      </w:r>
      <w:r w:rsidR="002814B7"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2814B7"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r w:rsidR="00CC4BC4" w:rsidRPr="00CC4BC4">
        <w:rPr>
          <w:lang w:val="en-GB"/>
        </w:rPr>
        <w:t>UniProt provides a grand total of 134,</w:t>
      </w:r>
      <w:r w:rsidR="003025A6">
        <w:rPr>
          <w:lang w:val="en-GB"/>
        </w:rPr>
        <w:t>350</w:t>
      </w:r>
      <w:r w:rsidR="00CC4BC4" w:rsidRPr="00CC4BC4">
        <w:rPr>
          <w:lang w:val="en-GB"/>
        </w:rPr>
        <w:t xml:space="preserve"> protein entries for human</w:t>
      </w:r>
      <w:r w:rsidR="007E7F07">
        <w:rPr>
          <w:lang w:val="en-GB"/>
        </w:rPr>
        <w:t xml:space="preserve"> (as of October 2013)</w:t>
      </w:r>
      <w:r w:rsidR="00CC4BC4" w:rsidRPr="00CC4BC4">
        <w:rPr>
          <w:lang w:val="en-GB"/>
        </w:rPr>
        <w:t>. These sequences are inferred from the sequenced genome and curated algorithmically and manually. Interestingly, the entries l</w:t>
      </w:r>
      <w:r w:rsidR="003025A6">
        <w:rPr>
          <w:lang w:val="en-GB"/>
        </w:rPr>
        <w:t>abelled with a gold star (20,278</w:t>
      </w:r>
      <w:r w:rsidR="00CC4BC4" w:rsidRPr="00CC4BC4">
        <w:rPr>
          <w:lang w:val="en-GB"/>
        </w:rPr>
        <w:t>) are manually reviewed, these protein</w:t>
      </w:r>
      <w:r w:rsidR="00B05F22">
        <w:rPr>
          <w:lang w:val="en-GB"/>
        </w:rPr>
        <w:t>s are historically called Swiss</w:t>
      </w:r>
      <w:r w:rsidR="00CC4BC4" w:rsidRPr="00CC4BC4">
        <w:rPr>
          <w:lang w:val="en-GB"/>
        </w:rPr>
        <w:t>Prot entries. The silver star entries on the other hand are algorithmic prediction where no experimental val</w:t>
      </w:r>
      <w:r w:rsidR="0025427D">
        <w:rPr>
          <w:lang w:val="en-GB"/>
        </w:rPr>
        <w:t xml:space="preserve">idation is annotated in UniProt, and this part of UniProt is called </w:t>
      </w:r>
      <w:r w:rsidR="00265910" w:rsidRPr="00265910">
        <w:rPr>
          <w:lang w:val="en-GB"/>
        </w:rPr>
        <w:t>TrEMBL</w:t>
      </w:r>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 large databases (&gt;100,000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UniProt </w:t>
      </w:r>
      <w:r w:rsidR="00CC4BC4" w:rsidRPr="00DB29DF">
        <w:rPr>
          <w:i/>
          <w:lang w:val="en-GB"/>
        </w:rPr>
        <w:t>a posteriori</w:t>
      </w:r>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UniProt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Most proteins exist in various forms, with minor or major variations. UniProt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r w:rsidRPr="0097137E">
        <w:rPr>
          <w:lang w:val="en-GB"/>
        </w:rPr>
        <w:t xml:space="preserve">UniProt </w:t>
      </w:r>
      <w:r w:rsidR="00CD1C2D">
        <w:rPr>
          <w:lang w:val="en-GB"/>
        </w:rPr>
        <w:t>also</w:t>
      </w:r>
      <w:r w:rsidRPr="0097137E">
        <w:rPr>
          <w:lang w:val="en-GB"/>
        </w:rPr>
        <w:t xml:space="preserve"> provide</w:t>
      </w:r>
      <w:r w:rsidR="00CD1C2D">
        <w:rPr>
          <w:lang w:val="en-GB"/>
        </w:rPr>
        <w:t>s</w:t>
      </w:r>
      <w:r w:rsidRPr="0097137E">
        <w:rPr>
          <w:lang w:val="en-GB"/>
        </w:rPr>
        <w:t xml:space="preserve"> isoforms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r w:rsidR="00E56854">
        <w:rPr>
          <w:lang w:val="en-GB"/>
        </w:rPr>
        <w:t xml:space="preserve">centroid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g peak picking) or in centroid</w:t>
      </w:r>
      <w:r w:rsidRPr="00441547">
        <w:rPr>
          <w:lang w:val="en-GB"/>
        </w:rPr>
        <w:t xml:space="preserve"> mode (already peak picked). Depending on the instrument, using more advanced signal processing methods can improve the results.</w:t>
      </w:r>
      <w:hyperlink w:anchor="_ENREF_5" w:tooltip="Lange, 2006 #5" w:history="1">
        <w:r w:rsidR="002814B7"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2814B7" w:rsidRPr="00441547">
          <w:rPr>
            <w:lang w:val="en-GB"/>
          </w:rPr>
          <w:fldChar w:fldCharType="separate"/>
        </w:r>
        <w:r w:rsidR="00C87C42" w:rsidRPr="00C87C42">
          <w:rPr>
            <w:noProof/>
            <w:vertAlign w:val="superscript"/>
            <w:lang w:val="en-GB"/>
          </w:rPr>
          <w:t>5</w:t>
        </w:r>
        <w:r w:rsidR="002814B7"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 xml:space="preserve">Both OMSSA and X!Tandem,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There are two types of modifications: modifications induced by the experimental workflow and natural modifications of the sample. Among the modifications occurring when conducting the experiment, some are produced voluntarily like carbamidomethylation of cysteine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2814B7"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2814B7" w:rsidRPr="004C659A">
          <w:rPr>
            <w:lang w:val="en-GB"/>
          </w:rPr>
          <w:fldChar w:fldCharType="separate"/>
        </w:r>
        <w:r w:rsidR="00C87C42" w:rsidRPr="00C87C42">
          <w:rPr>
            <w:noProof/>
            <w:vertAlign w:val="superscript"/>
            <w:lang w:val="en-GB"/>
          </w:rPr>
          <w:t>6</w:t>
        </w:r>
        <w:r w:rsidR="002814B7"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carbamidomethylation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2814B7"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2814B7" w:rsidRPr="004C659A">
          <w:rPr>
            <w:lang w:val="en-GB"/>
          </w:rPr>
          <w:fldChar w:fldCharType="separate"/>
        </w:r>
        <w:r w:rsidR="00C87C42" w:rsidRPr="00C87C42">
          <w:rPr>
            <w:noProof/>
            <w:vertAlign w:val="superscript"/>
            <w:lang w:val="en-GB"/>
          </w:rPr>
          <w:t>7</w:t>
        </w:r>
        <w:r w:rsidR="002814B7" w:rsidRPr="004C659A">
          <w:rPr>
            <w:lang w:val="en-GB"/>
          </w:rPr>
          <w:fldChar w:fldCharType="end"/>
        </w:r>
      </w:hyperlink>
      <w:r w:rsidRPr="004C659A">
        <w:rPr>
          <w:lang w:val="en-GB"/>
        </w:rPr>
        <w:t xml:space="preserve"> Here, searching with oxidation of methionine and </w:t>
      </w:r>
      <w:r w:rsidRPr="004C659A">
        <w:rPr>
          <w:lang w:val="en-GB"/>
        </w:rPr>
        <w:lastRenderedPageBreak/>
        <w:t xml:space="preserve">carbamidomethylation of cysteine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2814B7"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2814B7" w:rsidRPr="004C659A">
          <w:rPr>
            <w:lang w:val="en-GB"/>
          </w:rPr>
          <w:fldChar w:fldCharType="separate"/>
        </w:r>
        <w:r w:rsidR="00C87C42" w:rsidRPr="00C87C42">
          <w:rPr>
            <w:noProof/>
            <w:vertAlign w:val="superscript"/>
            <w:lang w:val="en-GB"/>
          </w:rPr>
          <w:t>8</w:t>
        </w:r>
        <w:r w:rsidR="002814B7"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2814B7"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2814B7" w:rsidRPr="0006716E">
          <w:rPr>
            <w:lang w:val="en-GB"/>
          </w:rPr>
          <w:fldChar w:fldCharType="separate"/>
        </w:r>
        <w:r w:rsidR="00C87C42" w:rsidRPr="00C87C42">
          <w:rPr>
            <w:noProof/>
            <w:vertAlign w:val="superscript"/>
            <w:lang w:val="en-GB"/>
          </w:rPr>
          <w:t>9</w:t>
        </w:r>
        <w:r w:rsidR="002814B7" w:rsidRPr="0006716E">
          <w:rPr>
            <w:lang w:val="en-GB"/>
          </w:rPr>
          <w:fldChar w:fldCharType="end"/>
        </w:r>
      </w:hyperlink>
      <w:r w:rsidR="0006716E" w:rsidRPr="0006716E">
        <w:rPr>
          <w:lang w:val="en-GB"/>
        </w:rPr>
        <w:t xml:space="preserve"> some missed cleavages will always remain,</w:t>
      </w:r>
      <w:hyperlink w:anchor="_ENREF_10" w:tooltip="Fannes, 2013 #1" w:history="1">
        <w:r w:rsidR="002814B7"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2814B7" w:rsidRPr="0006716E">
          <w:rPr>
            <w:lang w:val="en-GB"/>
          </w:rPr>
          <w:fldChar w:fldCharType="separate"/>
        </w:r>
        <w:r w:rsidR="00C87C42" w:rsidRPr="00C87C42">
          <w:rPr>
            <w:noProof/>
            <w:vertAlign w:val="superscript"/>
            <w:lang w:val="en-GB"/>
          </w:rPr>
          <w:t>10</w:t>
        </w:r>
        <w:r w:rsidR="002814B7" w:rsidRPr="0006716E">
          <w:rPr>
            <w:lang w:val="en-GB"/>
          </w:rPr>
          <w:fldChar w:fldCharType="end"/>
        </w:r>
      </w:hyperlink>
      <w:r w:rsidR="0006716E" w:rsidRPr="0006716E">
        <w:rPr>
          <w:lang w:val="en-GB"/>
        </w:rPr>
        <w:t xml:space="preserve"> in our experience up to two with trypsin.</w:t>
      </w:r>
      <w:hyperlink w:anchor="_ENREF_7" w:tooltip="Vaudel, 2011 #22" w:history="1">
        <w:r w:rsidR="002814B7"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2814B7" w:rsidRPr="0006716E">
          <w:rPr>
            <w:lang w:val="en-GB"/>
          </w:rPr>
          <w:fldChar w:fldCharType="separate"/>
        </w:r>
        <w:r w:rsidR="00C87C42" w:rsidRPr="00C87C42">
          <w:rPr>
            <w:noProof/>
            <w:vertAlign w:val="superscript"/>
            <w:lang w:val="en-GB"/>
          </w:rPr>
          <w:t>7</w:t>
        </w:r>
        <w:r w:rsidR="002814B7"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the data was recorded in the O</w:t>
      </w:r>
      <w:r w:rsidRPr="009F2674">
        <w:rPr>
          <w:lang w:val="en-GB"/>
        </w:rPr>
        <w:t>rbitrap where a 10 ppm tolerance gives the best results on our setup. OMSSA and X!Tandem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2814B7"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2814B7" w:rsidRPr="009D4C89">
          <w:rPr>
            <w:lang w:val="en-GB"/>
          </w:rPr>
          <w:fldChar w:fldCharType="separate"/>
        </w:r>
        <w:r w:rsidR="00C87C42" w:rsidRPr="00C87C42">
          <w:rPr>
            <w:noProof/>
            <w:vertAlign w:val="superscript"/>
            <w:lang w:val="en-GB"/>
          </w:rPr>
          <w:t>11</w:t>
        </w:r>
        <w:r w:rsidR="002814B7"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X!Tandem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losses. Some modifications like phosphorylation can also generate neutral losses and these can be set in this dialog. Note that this information is not accounted for by OMSSA and X!Tandem.</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2814B7"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2814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2814B7">
        <w:rPr>
          <w:lang w:val="en-GB"/>
        </w:rPr>
      </w:r>
      <w:r w:rsidR="002814B7">
        <w:rPr>
          <w:lang w:val="en-GB"/>
        </w:rPr>
        <w:fldChar w:fldCharType="end"/>
      </w:r>
      <w:r w:rsidR="002814B7" w:rsidRPr="007329B7">
        <w:rPr>
          <w:lang w:val="en-GB"/>
        </w:rPr>
      </w:r>
      <w:r w:rsidR="002814B7"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2814B7"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SearchGUI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r w:rsidR="00CF7888" w:rsidRPr="00CF7888">
        <w:rPr>
          <w:lang w:val="en-GB"/>
        </w:rPr>
        <w:t>Ensembl</w:t>
      </w:r>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X!Tandem performs by default a quick search for protein terminal acetylation and peptide </w:t>
      </w:r>
      <w:r w:rsidR="005C2B4C">
        <w:t>pyrolidone.</w:t>
      </w:r>
      <w:r w:rsidR="005C2B4C">
        <w:rPr>
          <w:lang w:val="en-GB"/>
        </w:rPr>
        <w:t xml:space="preserve"> A</w:t>
      </w:r>
      <w:r w:rsidR="00616438" w:rsidRPr="00616438">
        <w:rPr>
          <w:lang w:val="en-GB"/>
        </w:rPr>
        <w:t xml:space="preserve">fter a standard search, X!Tandem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terminal acetylation</w:t>
      </w:r>
      <w:r w:rsidR="00616438" w:rsidRPr="00616438">
        <w:rPr>
          <w:lang w:val="en-GB"/>
        </w:rPr>
        <w:t>. SearchGUI passed this information to PeptideShaker</w:t>
      </w:r>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2814B7"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2814B7" w:rsidRPr="00616438">
          <w:rPr>
            <w:lang w:val="en-GB"/>
          </w:rPr>
          <w:fldChar w:fldCharType="separate"/>
        </w:r>
        <w:r w:rsidR="00C87C42" w:rsidRPr="00C87C42">
          <w:rPr>
            <w:noProof/>
            <w:vertAlign w:val="superscript"/>
            <w:lang w:val="en-GB"/>
          </w:rPr>
          <w:t>14</w:t>
        </w:r>
        <w:r w:rsidR="002814B7"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The notion of peptide is however not fixed with regards to charge and modification status. In PeptideShaker,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Line 15: GYYSPYSVSGSGSGSTAGSR was found phosphorylated on serine 4. However, the localization of the phosphorylation is not confident: only the letter carries the color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9B10E1" w:rsidRPr="009B10E1">
        <w:rPr>
          <w:lang w:val="en-GB"/>
        </w:rPr>
        <w:t xml:space="preserve"> 3.</w:t>
      </w:r>
      <w:r w:rsidR="009B10E1">
        <w:rPr>
          <w:lang w:val="en-GB"/>
        </w:rPr>
        <w:t xml:space="preserve"> </w:t>
      </w:r>
      <w:r w:rsidR="009B10E1" w:rsidRPr="009B10E1">
        <w:rPr>
          <w:lang w:val="en-GB"/>
        </w:rPr>
        <w:t>Peptides at lines 20, 23, 24, 25, 35 and 36 were carrying a pyro-cmc modification.</w:t>
      </w:r>
      <w:r w:rsidR="007A56CF">
        <w:rPr>
          <w:lang w:val="en-GB"/>
        </w:rPr>
        <w:t xml:space="preserve"> (Terminal PTMs are not color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As a result, the spectrum is very nicely annotated with two series of b and y ions. These ions are the ones we used for the identification. PeptideShaker also annotates iF which is a commonly observed immonium ion for the amino-acid Phenylalanine.</w:t>
      </w:r>
      <w:hyperlink w:anchor="_ENREF_15" w:tooltip="Papayannopoulos, 1995 #3" w:history="1">
        <w:r w:rsidR="002814B7"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2814B7" w:rsidRPr="00B61D12">
          <w:rPr>
            <w:lang w:val="en-GB"/>
          </w:rPr>
          <w:fldChar w:fldCharType="separate"/>
        </w:r>
        <w:r w:rsidR="00C87C42" w:rsidRPr="00C87C42">
          <w:rPr>
            <w:noProof/>
            <w:vertAlign w:val="superscript"/>
            <w:lang w:val="en-GB"/>
          </w:rPr>
          <w:t>15</w:t>
        </w:r>
        <w:r w:rsidR="002814B7" w:rsidRPr="00B61D12">
          <w:rPr>
            <w:lang w:val="en-GB"/>
          </w:rPr>
          <w:fldChar w:fldCharType="end"/>
        </w:r>
      </w:hyperlink>
      <w:r w:rsidRPr="00B61D12">
        <w:rPr>
          <w:lang w:val="en-GB"/>
        </w:rPr>
        <w:t xml:space="preserve"> Some other ions presenting neutral losses are also annotated.</w:t>
      </w:r>
    </w:p>
    <w:p w:rsidR="00B61D12" w:rsidRDefault="002814B7"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Isoleucine - </w:t>
      </w:r>
      <w:r w:rsidRPr="00E26906">
        <w:rPr>
          <w:lang w:val="en-GB"/>
        </w:rPr>
        <w:t>Leucine couple. These can create systematic errors, hence biasing the error rate estimation</w:t>
      </w:r>
      <w:hyperlink w:anchor="_ENREF_16" w:tooltip="Colaert, 2011 #48" w:history="1">
        <w:r w:rsidR="002814B7"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2814B7" w:rsidRPr="00E26906">
          <w:rPr>
            <w:lang w:val="en-GB"/>
          </w:rPr>
          <w:fldChar w:fldCharType="separate"/>
        </w:r>
        <w:r w:rsidR="00C87C42" w:rsidRPr="00C87C42">
          <w:rPr>
            <w:noProof/>
            <w:vertAlign w:val="superscript"/>
            <w:lang w:val="en-GB"/>
          </w:rPr>
          <w:t>16</w:t>
        </w:r>
        <w:r w:rsidR="002814B7"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An immonium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'i' in front, e.g., iF. The presence of an immonium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In our example we find the immonium ion of Phenylalanine (iF)</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in-sillico fragm</w:t>
      </w:r>
      <w:r w:rsidR="00A171C2">
        <w:rPr>
          <w:lang w:val="en-GB"/>
        </w:rPr>
        <w:t xml:space="preserve">entations. Also, X!Tandem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Here the hit proposed by X!Tandem is clearly better than the one found by OMSSA, as seen from the respective confidences and spectrum annotation. In fact, X!Tandem found this acetylated peptide during the second pass search – while OMSSA was not searching for acetylated peptides. OMSSA and X!Tandem are hence not looking at the spectrum with the same glasses, explaining the dramatic difference between the results.</w:t>
      </w:r>
    </w:p>
    <w:p w:rsidR="00536345" w:rsidRPr="00C82583" w:rsidRDefault="00536345" w:rsidP="00536345">
      <w:pPr>
        <w:jc w:val="both"/>
      </w:pPr>
      <w:r w:rsidRPr="00536345">
        <w:rPr>
          <w:lang w:val="en-GB"/>
        </w:rPr>
        <w:t>On the other hand, when the search engines come up with different solutions with comparable confidence, the match can reasonably be considered as doubtful. This is notably the case when search engines infer conflicting PTM localizations – an effect which is translated in a score in PeptideShaker, the D-score.</w:t>
      </w:r>
      <w:hyperlink w:anchor="_ENREF_17" w:tooltip="Vaudel, 2013 #28" w:history="1">
        <w:r w:rsidR="002814B7"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2814B7" w:rsidRPr="00536345">
          <w:rPr>
            <w:lang w:val="en-GB"/>
          </w:rPr>
          <w:fldChar w:fldCharType="separate"/>
        </w:r>
        <w:r w:rsidR="00C87C42" w:rsidRPr="00C87C42">
          <w:rPr>
            <w:noProof/>
            <w:vertAlign w:val="superscript"/>
            <w:lang w:val="en-GB"/>
          </w:rPr>
          <w:t>17</w:t>
        </w:r>
        <w:r w:rsidR="002814B7"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w:t>
      </w:r>
      <w:r w:rsidR="00554420">
        <w:rPr>
          <w:lang w:val="en-GB"/>
        </w:rPr>
        <w:t>doubtful</w:t>
      </w:r>
      <w:r w:rsidR="00F20295" w:rsidRPr="00F20295">
        <w:rPr>
          <w:lang w:val="en-GB"/>
        </w:rPr>
        <w:t xml:space="preserve"> protein identification matches is </w:t>
      </w:r>
      <w:r w:rsidR="00554420">
        <w:rPr>
          <w:lang w:val="en-GB"/>
        </w:rPr>
        <w:t>mainly</w:t>
      </w:r>
      <w:r w:rsidR="00F20295" w:rsidRPr="00F20295">
        <w:rPr>
          <w:lang w:val="en-GB"/>
        </w:rPr>
        <w:t xml:space="preserve">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w:t>
      </w:r>
      <w:r w:rsidR="00554420">
        <w:rPr>
          <w:lang w:val="en-GB"/>
        </w:rPr>
        <w:t>, simply that t</w:t>
      </w:r>
      <w:r w:rsidRPr="00F20295">
        <w:rPr>
          <w:lang w:val="en-GB"/>
        </w:rPr>
        <w:t>hey should be considered with care.</w:t>
      </w:r>
      <w:r w:rsidR="006B223C">
        <w:rPr>
          <w:lang w:val="en-GB"/>
        </w:rPr>
        <w:t xml:space="preserve"> As you can observe, PeptideShaker already flagged these matches as “doubtful” for you.</w:t>
      </w:r>
    </w:p>
    <w:p w:rsidR="00812D16" w:rsidRDefault="00DA7A45" w:rsidP="00812D16">
      <w:pPr>
        <w:jc w:val="both"/>
        <w:rPr>
          <w:lang w:val="en-GB"/>
        </w:rPr>
      </w:pPr>
      <w:r>
        <w:rPr>
          <w:b/>
          <w:lang w:val="en-GB"/>
        </w:rPr>
        <w:lastRenderedPageBreak/>
        <w:t>[1.4</w:t>
      </w:r>
      <w:r w:rsidR="00A71359">
        <w:rPr>
          <w:b/>
          <w:lang w:val="en-GB"/>
        </w:rPr>
        <w:t>q</w:t>
      </w:r>
      <w:r>
        <w:rPr>
          <w:b/>
          <w:lang w:val="en-GB"/>
        </w:rPr>
        <w:t>]</w:t>
      </w:r>
      <w:r w:rsidR="00F20295">
        <w:rPr>
          <w:b/>
          <w:lang w:val="en-GB"/>
        </w:rPr>
        <w:tab/>
      </w:r>
      <w:r w:rsidR="00382DE8">
        <w:rPr>
          <w:lang w:val="en-GB"/>
        </w:rPr>
        <w:t xml:space="preserve">The protein information tells us that the proteins come from different chromosomes and from different genes. </w:t>
      </w:r>
      <w:r w:rsidR="00EA1D1D">
        <w:rPr>
          <w:lang w:val="en-GB"/>
        </w:rPr>
        <w:t>The protein descriptions also look very different. However, the proteins could stil</w:t>
      </w:r>
      <w:r w:rsidR="00A3362A">
        <w:rPr>
          <w:lang w:val="en-GB"/>
        </w:rPr>
        <w:t>l be distantly related, and one would need a deeper analysis to see if there is any r</w:t>
      </w:r>
      <w:r w:rsidR="00515EF1">
        <w:rPr>
          <w:lang w:val="en-GB"/>
        </w:rPr>
        <w:t>elation</w:t>
      </w:r>
      <w:r w:rsidR="00A3362A">
        <w:rPr>
          <w:lang w:val="en-GB"/>
        </w:rPr>
        <w:t xml:space="preserve"> between the two.</w:t>
      </w:r>
    </w:p>
    <w:p w:rsidR="00A3362A" w:rsidRDefault="006B5A80" w:rsidP="006C5C2F">
      <w:pPr>
        <w:jc w:val="both"/>
        <w:rPr>
          <w:lang w:val="en-GB"/>
        </w:rPr>
      </w:pPr>
      <w:r>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e.g., if one protein has evidence at the protein level, while the other is labelled uncertain, it would in most case be safe to assume that the first protein is </w:t>
      </w:r>
      <w:r w:rsidR="00D221D1">
        <w:rPr>
          <w:lang w:val="en-GB"/>
        </w:rPr>
        <w:t xml:space="preserve">the one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The Enz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LSVEGFAV, is flagged in green </w:t>
      </w:r>
      <w:r w:rsidR="009B472D">
        <w:rPr>
          <w:lang w:val="en-GB"/>
        </w:rPr>
        <w:t>in the PI column of the Peptide</w:t>
      </w:r>
      <w:r w:rsidR="00C96561" w:rsidRPr="00C96561">
        <w:rPr>
          <w:lang w:val="en-GB"/>
        </w:rPr>
        <w:t xml:space="preserve"> table. Note that it presents a very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 xml:space="preserve">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t>
      </w:r>
      <w:r w:rsidR="00B346A9" w:rsidRPr="00B346A9">
        <w:rPr>
          <w:lang w:val="en-GB"/>
        </w:rPr>
        <w:lastRenderedPageBreak/>
        <w:t>when compared to the main match. Using a clean database hence dramatically simplifies the interpretation of the results.</w:t>
      </w:r>
    </w:p>
    <w:p w:rsidR="00B346A9" w:rsidRDefault="00B346A9" w:rsidP="00B346A9">
      <w:pPr>
        <w:jc w:val="both"/>
      </w:pPr>
      <w:r w:rsidRPr="00B346A9">
        <w:rPr>
          <w:lang w:val="en-GB"/>
        </w:rPr>
        <w:t>When protein inference issues are actually impairing the scientific outcome of an experiment, it is possible to enrich for unique peptides like terminal peptides</w:t>
      </w:r>
      <w:hyperlink w:anchor="_ENREF_18" w:tooltip="Gevaert, 2003 #3" w:history="1">
        <w:r w:rsidR="002814B7"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2814B7" w:rsidRPr="00B346A9">
          <w:rPr>
            <w:lang w:val="en-GB"/>
          </w:rPr>
          <w:fldChar w:fldCharType="separate"/>
        </w:r>
        <w:r w:rsidR="00C87C42" w:rsidRPr="00C87C42">
          <w:rPr>
            <w:noProof/>
            <w:vertAlign w:val="superscript"/>
            <w:lang w:val="en-GB"/>
          </w:rPr>
          <w:t>18</w:t>
        </w:r>
        <w:r w:rsidR="002814B7" w:rsidRPr="00B346A9">
          <w:rPr>
            <w:lang w:val="en-GB"/>
          </w:rPr>
          <w:fldChar w:fldCharType="end"/>
        </w:r>
      </w:hyperlink>
      <w:r w:rsidRPr="00B346A9">
        <w:rPr>
          <w:lang w:val="en-GB"/>
        </w:rPr>
        <w:t xml:space="preserve"> or to decipher the problem using targeted proteomics.</w:t>
      </w:r>
      <w:hyperlink w:anchor="_ENREF_19" w:tooltip="Picotti, 2012 #4" w:history="1">
        <w:r w:rsidR="002814B7"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2814B7" w:rsidRPr="00B346A9">
          <w:rPr>
            <w:lang w:val="en-GB"/>
          </w:rPr>
          <w:fldChar w:fldCharType="separate"/>
        </w:r>
        <w:r w:rsidR="00C87C42" w:rsidRPr="00C87C42">
          <w:rPr>
            <w:noProof/>
            <w:vertAlign w:val="superscript"/>
            <w:lang w:val="en-GB"/>
          </w:rPr>
          <w:t>19</w:t>
        </w:r>
        <w:r w:rsidR="002814B7"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It is also possible to create decoy databases by randomizing amino acids. This is particularly easy with dbtoolkit.</w:t>
      </w:r>
      <w:hyperlink w:anchor="_ENREF_20" w:tooltip="Martens, 2005 #1" w:history="1">
        <w:r w:rsidR="002814B7"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2814B7" w:rsidRPr="00602787">
          <w:rPr>
            <w:lang w:val="en-GB"/>
          </w:rPr>
          <w:fldChar w:fldCharType="separate"/>
        </w:r>
        <w:r w:rsidR="00C87C42" w:rsidRPr="00C87C42">
          <w:rPr>
            <w:noProof/>
            <w:vertAlign w:val="superscript"/>
            <w:lang w:val="en-GB"/>
          </w:rPr>
          <w:t>20</w:t>
        </w:r>
        <w:r w:rsidR="002814B7" w:rsidRPr="00602787">
          <w:rPr>
            <w:lang w:val="en-GB"/>
          </w:rPr>
          <w:fldChar w:fldCharType="end"/>
        </w:r>
      </w:hyperlink>
      <w:r w:rsidRPr="00602787">
        <w:rPr>
          <w:lang w:val="en-GB"/>
        </w:rPr>
        <w:t xml:space="preserve"> Both reverse and random decoy sequences were shown to perform equally well.</w:t>
      </w:r>
      <w:r w:rsidR="002814B7"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2814B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2814B7">
        <w:rPr>
          <w:lang w:val="en-GB"/>
        </w:rPr>
      </w:r>
      <w:r w:rsidR="002814B7">
        <w:rPr>
          <w:lang w:val="en-GB"/>
        </w:rPr>
        <w:fldChar w:fldCharType="end"/>
      </w:r>
      <w:r w:rsidR="002814B7" w:rsidRPr="00602787">
        <w:rPr>
          <w:lang w:val="en-GB"/>
        </w:rPr>
      </w:r>
      <w:r w:rsidR="002814B7"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2814B7"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BB56F5">
        <w:rPr>
          <w:lang w:val="en-GB"/>
        </w:rPr>
        <w:t>17</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This value was the best below 1%. Including more proteins would have in all cases implied FDR &gt; 1%. Pep</w:t>
      </w:r>
      <w:r w:rsidR="00914E2B">
        <w:rPr>
          <w:lang w:val="en-GB"/>
        </w:rPr>
        <w:t>tideShaker hence stopped at 0.99</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2814B7"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2814B7" w:rsidRPr="007203A9">
          <w:rPr>
            <w:lang w:val="en-GB"/>
          </w:rPr>
          <w:fldChar w:fldCharType="separate"/>
        </w:r>
        <w:r w:rsidR="00C87C42" w:rsidRPr="00C87C42">
          <w:rPr>
            <w:noProof/>
            <w:vertAlign w:val="superscript"/>
            <w:lang w:val="en-GB"/>
          </w:rPr>
          <w:t>22</w:t>
        </w:r>
        <w:r w:rsidR="002814B7"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PeptideShaker tells you that </w:t>
      </w:r>
      <w:r w:rsidR="00A9212C">
        <w:rPr>
          <w:lang w:val="en-GB"/>
        </w:rPr>
        <w:t>it estimates its</w:t>
      </w:r>
      <w:r w:rsidR="00BB56F5">
        <w:rPr>
          <w:lang w:val="en-GB"/>
        </w:rPr>
        <w:t xml:space="preserve"> minimal</w:t>
      </w:r>
      <w:r w:rsidR="00A9212C">
        <w:rPr>
          <w:lang w:val="en-GB"/>
        </w:rPr>
        <w:t xml:space="preserve"> resolution to </w:t>
      </w:r>
      <w:r w:rsidR="00BB56F5">
        <w:rPr>
          <w:lang w:val="en-GB"/>
        </w:rPr>
        <w:t>~</w:t>
      </w:r>
      <w:r w:rsidR="004D4AD6">
        <w:rPr>
          <w:lang w:val="en-GB"/>
        </w:rPr>
        <w:t>4</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4D4AD6">
        <w:rPr>
          <w:lang w:val="en-GB"/>
        </w:rPr>
        <w:t>4</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lastRenderedPageBreak/>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2814B7"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2814B7" w:rsidRPr="00AB5ABB">
          <w:rPr>
            <w:lang w:val="en-GB"/>
          </w:rPr>
          <w:fldChar w:fldCharType="separate"/>
        </w:r>
        <w:r w:rsidR="00C87C42" w:rsidRPr="00C87C42">
          <w:rPr>
            <w:noProof/>
            <w:vertAlign w:val="superscript"/>
            <w:lang w:val="en-GB"/>
          </w:rPr>
          <w:t>22</w:t>
        </w:r>
        <w:r w:rsidR="002814B7" w:rsidRPr="00AB5ABB">
          <w:rPr>
            <w:lang w:val="en-GB"/>
          </w:rPr>
          <w:fldChar w:fldCharType="end"/>
        </w:r>
      </w:hyperlink>
    </w:p>
    <w:p w:rsidR="005B53B1" w:rsidRDefault="00AB5ABB" w:rsidP="001F4E39">
      <w:pPr>
        <w:jc w:val="both"/>
        <w:rPr>
          <w:lang w:val="en-GB"/>
        </w:rPr>
      </w:pPr>
      <w:r>
        <w:rPr>
          <w:b/>
          <w:lang w:val="en-GB"/>
        </w:rPr>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BB56F5">
        <w:rPr>
          <w:lang w:val="en-GB"/>
        </w:rPr>
        <w:t>4.87</w:t>
      </w:r>
      <w:r w:rsidR="001F4E39" w:rsidRPr="001F4E39">
        <w:rPr>
          <w:lang w:val="en-GB"/>
        </w:rPr>
        <w:t>%, correspon</w:t>
      </w:r>
      <w:r w:rsidR="005D4773">
        <w:rPr>
          <w:lang w:val="en-GB"/>
        </w:rPr>
        <w:t xml:space="preserve">ding to an estimated FNR of </w:t>
      </w:r>
      <w:r w:rsidR="00BB56F5">
        <w:rPr>
          <w:lang w:val="en-GB"/>
        </w:rPr>
        <w:t>0.62</w:t>
      </w:r>
      <w:r w:rsidR="001F4E39" w:rsidRPr="001F4E39">
        <w:rPr>
          <w:lang w:val="en-GB"/>
        </w:rPr>
        <w:t xml:space="preserve">%. We have hence included </w:t>
      </w:r>
      <w:r w:rsidR="00D335D3">
        <w:rPr>
          <w:lang w:val="en-GB"/>
        </w:rPr>
        <w:t>52</w:t>
      </w:r>
      <w:r w:rsidR="001F4E39" w:rsidRPr="001F4E39">
        <w:rPr>
          <w:lang w:val="en-GB"/>
        </w:rPr>
        <w:t xml:space="preserve"> false positives to rescue </w:t>
      </w:r>
      <w:r w:rsidR="00D335D3">
        <w:rPr>
          <w:lang w:val="en-GB"/>
        </w:rPr>
        <w:t>45</w:t>
      </w:r>
      <w:r w:rsidR="001F4E39" w:rsidRPr="001F4E39">
        <w:rPr>
          <w:lang w:val="en-GB"/>
        </w:rPr>
        <w:t xml:space="preserve"> true positives.</w:t>
      </w:r>
      <w:r w:rsidR="005B53B1">
        <w:rPr>
          <w:lang w:val="en-GB"/>
        </w:rPr>
        <w:t xml:space="preserve"> Selecting a minimal confidence of 95% brings an estimated FDR of </w:t>
      </w:r>
      <w:r w:rsidR="00494674">
        <w:rPr>
          <w:lang w:val="en-GB"/>
        </w:rPr>
        <w:t xml:space="preserve">almost </w:t>
      </w:r>
      <w:r w:rsidR="005B53B1">
        <w:rPr>
          <w:lang w:val="en-GB"/>
        </w:rPr>
        <w:t xml:space="preserve">0% and an FNR of </w:t>
      </w:r>
      <w:r w:rsidR="00D335D3">
        <w:rPr>
          <w:lang w:val="en-GB"/>
        </w:rPr>
        <w:t>8</w:t>
      </w:r>
      <w:r w:rsidR="005B53B1">
        <w:rPr>
          <w:lang w:val="en-GB"/>
        </w:rPr>
        <w:t xml:space="preserve">%. Note that setting a threshold of 95% confidence with </w:t>
      </w:r>
      <w:r w:rsidR="00AD18CD">
        <w:rPr>
          <w:lang w:val="en-GB"/>
        </w:rPr>
        <w:t>4</w:t>
      </w:r>
      <w:r w:rsidR="005B53B1">
        <w:rPr>
          <w:lang w:val="en-GB"/>
        </w:rPr>
        <w:t xml:space="preserve"> percentage point estimation accuracy </w:t>
      </w:r>
      <w:r w:rsidR="00CE25E6">
        <w:rPr>
          <w:lang w:val="en-GB"/>
        </w:rPr>
        <w:t>means that you are actually using a confidence between 91 and 99%</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2814B7">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2814B7">
          <w:rPr>
            <w:lang w:val="en-GB"/>
          </w:rPr>
          <w:fldChar w:fldCharType="separate"/>
        </w:r>
        <w:r w:rsidR="00C87C42" w:rsidRPr="00C87C42">
          <w:rPr>
            <w:noProof/>
            <w:vertAlign w:val="superscript"/>
            <w:lang w:val="en-GB"/>
          </w:rPr>
          <w:t>16</w:t>
        </w:r>
        <w:r w:rsidR="002814B7">
          <w:rPr>
            <w:lang w:val="en-GB"/>
          </w:rPr>
          <w:fldChar w:fldCharType="end"/>
        </w:r>
      </w:hyperlink>
      <w:r w:rsidR="00C87C42">
        <w:rPr>
          <w:lang w:val="en-GB"/>
        </w:rPr>
        <w:t xml:space="preserve"> </w:t>
      </w:r>
      <w:r w:rsidR="00557673">
        <w:rPr>
          <w:lang w:val="en-GB"/>
        </w:rPr>
        <w:t>Consequently, only high quality hits are hence kept for further investigation. For example, one typically expects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For the proteins, the blue line clearly deviates from the black line.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435C0F" w:rsidRPr="00435C0F">
        <w:rPr>
          <w:lang w:val="en-GB"/>
        </w:rPr>
        <w:t xml:space="preserve">, this protein “Probably plays a role in facilitating the assembly of multimeric protein complexes inside the </w:t>
      </w:r>
      <w:r w:rsidR="00356781" w:rsidRPr="00356781">
        <w:rPr>
          <w:lang w:val="en-GB"/>
        </w:rPr>
        <w:t>endoplasmic reticulum</w:t>
      </w:r>
      <w:r w:rsidR="00435C0F" w:rsidRPr="00435C0F">
        <w:rPr>
          <w:lang w:val="en-GB"/>
        </w:rPr>
        <w:t xml:space="preserve">” and was found in these </w:t>
      </w:r>
      <w:r w:rsidR="00435C0F" w:rsidRPr="00435C0F">
        <w:rPr>
          <w:lang w:val="en-GB"/>
        </w:rPr>
        <w:lastRenderedPageBreak/>
        <w:t>subcellular locations: “Endoplasmic reticulum lumen. Melanosome. Cytoplasm.”. Note that more information is given in the “Ontologies” section of the protein report.</w:t>
      </w:r>
    </w:p>
    <w:p w:rsidR="00262F21" w:rsidRDefault="00C64237" w:rsidP="00262F21">
      <w:pPr>
        <w:jc w:val="both"/>
        <w:rPr>
          <w:color w:val="0000FF"/>
          <w:lang w:val="en-GB"/>
        </w:rPr>
      </w:pPr>
      <w:r>
        <w:rPr>
          <w:b/>
          <w:lang w:val="en-GB"/>
        </w:rPr>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In the Significance plot all the green bars represent GO terms that are significantly more frequent in the example dataset compare to Ensembl, while red bars represent GO terms that are significantly less frequent in the example dataset compare to Ensembl.</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r w:rsidR="00F95393" w:rsidRPr="006B2E6A">
        <w:t>Hypergeometric test</w:t>
      </w:r>
      <w:r w:rsidR="00F95393">
        <w:t xml:space="preserve"> </w:t>
      </w:r>
      <w:r w:rsidR="00F95393">
        <w:rPr>
          <w:lang w:val="en-GB"/>
        </w:rPr>
        <w:t>used to compare the two groups rely on the fact that the selection of protein to compare against the distribution in Ensembl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HeLa sample with the HeLa term, everyone searching “HeLa” will be able to find your dataset. A good annotation is also vital for dataset understanding and reprocessing: it will allow other scientists to know which modifications you have been looking for, which mass tolerances </w:t>
      </w:r>
      <w:r>
        <w:rPr>
          <w:lang w:val="en-GB"/>
        </w:rPr>
        <w:lastRenderedPageBreak/>
        <w:t>and which database. Note that PeptideShaker</w:t>
      </w:r>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r>
        <w:rPr>
          <w:b/>
          <w:lang w:val="en-GB"/>
        </w:rPr>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PeptideShaker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r w:rsidR="003E39FE">
        <w:rPr>
          <w:lang w:val="en-GB"/>
        </w:rPr>
        <w:t xml:space="preserve">PeptideShaker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using the same annotation as in PeptideShaker.</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r>
        <w:rPr>
          <w:lang w:val="en-GB"/>
        </w:rPr>
        <w:t>A public dataset is freely available to everyone and advertised on the ProteomeXchange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p w:rsidR="005A5C63" w:rsidRDefault="005A5C63" w:rsidP="00AE40FE">
      <w:pPr>
        <w:jc w:val="both"/>
        <w:rPr>
          <w:lang w:val="en-GB"/>
        </w:rPr>
      </w:pP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PeptideShaker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PeptideShaker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lastRenderedPageBreak/>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2814B7"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2814B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2814B7">
          <w:rPr>
            <w:lang w:val="en-GB"/>
          </w:rPr>
        </w:r>
        <w:r w:rsidR="002814B7">
          <w:rPr>
            <w:lang w:val="en-GB"/>
          </w:rPr>
          <w:fldChar w:fldCharType="end"/>
        </w:r>
        <w:r w:rsidR="002814B7" w:rsidRPr="00B84EC7">
          <w:rPr>
            <w:lang w:val="en-GB"/>
          </w:rPr>
        </w:r>
        <w:r w:rsidR="002814B7" w:rsidRPr="00B84EC7">
          <w:rPr>
            <w:lang w:val="en-GB"/>
          </w:rPr>
          <w:fldChar w:fldCharType="separate"/>
        </w:r>
        <w:r w:rsidR="00C87C42" w:rsidRPr="00C87C42">
          <w:rPr>
            <w:noProof/>
            <w:vertAlign w:val="superscript"/>
            <w:lang w:val="en-GB"/>
          </w:rPr>
          <w:t>23</w:t>
        </w:r>
        <w:r w:rsidR="002814B7"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UniProt.</w:t>
      </w:r>
      <w:hyperlink w:anchor="_ENREF_24" w:tooltip="Griss, 2011 #6" w:history="1">
        <w:r w:rsidR="002814B7"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2814B7" w:rsidRPr="00B84EC7">
          <w:rPr>
            <w:lang w:val="en-GB"/>
          </w:rPr>
          <w:fldChar w:fldCharType="separate"/>
        </w:r>
        <w:r w:rsidR="00C87C42" w:rsidRPr="00C87C42">
          <w:rPr>
            <w:noProof/>
            <w:vertAlign w:val="superscript"/>
            <w:lang w:val="en-GB"/>
          </w:rPr>
          <w:t>24</w:t>
        </w:r>
        <w:r w:rsidR="002814B7"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2814B7"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2814B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2814B7">
          <w:rPr>
            <w:lang w:val="en-GB"/>
          </w:rPr>
        </w:r>
        <w:r w:rsidR="002814B7">
          <w:rPr>
            <w:lang w:val="en-GB"/>
          </w:rPr>
          <w:fldChar w:fldCharType="end"/>
        </w:r>
        <w:r w:rsidR="002814B7" w:rsidRPr="00B84EC7">
          <w:rPr>
            <w:lang w:val="en-GB"/>
          </w:rPr>
        </w:r>
        <w:r w:rsidR="002814B7" w:rsidRPr="00B84EC7">
          <w:rPr>
            <w:lang w:val="en-GB"/>
          </w:rPr>
          <w:fldChar w:fldCharType="separate"/>
        </w:r>
        <w:r w:rsidR="00C87C42" w:rsidRPr="00C87C42">
          <w:rPr>
            <w:noProof/>
            <w:vertAlign w:val="superscript"/>
            <w:lang w:val="en-GB"/>
          </w:rPr>
          <w:t>25</w:t>
        </w:r>
        <w:r w:rsidR="002814B7"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5E7804">
        <w:rPr>
          <w:lang w:val="en-GB"/>
        </w:rPr>
        <w:t>Validation</w:t>
      </w:r>
      <w:r w:rsidRPr="00AB3D30">
        <w:rPr>
          <w:lang w:val="en-GB"/>
        </w:rPr>
        <w:t xml:space="preserve"> tab, you will see that </w:t>
      </w:r>
      <w:r w:rsidR="006E7067">
        <w:rPr>
          <w:lang w:val="en-GB"/>
        </w:rPr>
        <w:t>183</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6E7067">
        <w:rPr>
          <w:lang w:val="en-GB"/>
        </w:rPr>
        <w:t>51.5</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385 protein groups were validated at 1% FDR, among them 164 were marked as confident.</w:t>
      </w:r>
      <w:bookmarkStart w:id="0" w:name="_GoBack"/>
      <w:bookmarkEnd w:id="0"/>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lastRenderedPageBreak/>
        <w:t xml:space="preserve">This however comes at costs in quantification accuracy. Indeed, in terms of quantification performance, an abundance metric based on spectrum counts can simply not compare to intensity based metrics. For 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Spectrum counting quantification accuracy is hence dramatically sensitive with regards to the identification process. Other factors can impair accuracy: different proteins do not have the same probability to generate observable tryptic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This example consists of a single Q Exactive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 xml:space="preserve">out by the </w:t>
      </w:r>
      <w:r>
        <w:rPr>
          <w:lang w:val="en-GB"/>
        </w:rPr>
        <w:lastRenderedPageBreak/>
        <w:t>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The four iTRAQ labels are all isobaric, meaning that they have the mass and thus appear as identical in the MS1 spectrum. When trying possible amino acid modifications for the peptide to spectrum matches it is therefore enough to only include one of the iTRAQ modifications, as a match against one of them will also match all the others. And at the MS1 level, i.e., when finding the mass of the precursor, this is all we need. (Note that the iTRAQ labels, unlike TMT, are not truly isobaric though, as the chemical modifications used to generate the different labels differ slightly. This is not usually an issue, but with the ever increasing accuracy of the instruments, there will come a time when iTRAQ labels can no longer be considered as isobaric.)</w:t>
      </w:r>
    </w:p>
    <w:p w:rsidR="00C64237" w:rsidRDefault="00C64237" w:rsidP="00C64237">
      <w:pPr>
        <w:jc w:val="both"/>
        <w:rPr>
          <w:lang w:val="en-GB"/>
        </w:rPr>
      </w:pPr>
      <w:r>
        <w:rPr>
          <w:lang w:val="en-GB"/>
        </w:rPr>
        <w:t>The iTRAQ labelling is considered as variable on the Y, because experiments have shown that it modifies the Y's in roughly 50% of the cases. While the iTRAQ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All the spectra matching to a given peptide should have similar iTRAQ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iTRAQ peak intensities. However, there will be slight differences between peptides and because of this it is therefore important to have data from more than a single peptide when using iTRAQ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w:t>
      </w:r>
      <w:r>
        <w:rPr>
          <w:lang w:val="en-GB"/>
        </w:rPr>
        <w:lastRenderedPageBreak/>
        <w:t>two proteins will in some cases have a low abundance, i.e., when it comes from protein A, and in some cases a high abundance, i.e., when it comes from protein B. The average abundance of the peptide will 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Beta-galactosidase</w:t>
      </w:r>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MS1 Labeling</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2814B7"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1"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1"/>
    </w:p>
    <w:p w:rsidR="00C87C42" w:rsidRPr="00C87C42" w:rsidRDefault="00C87C42" w:rsidP="00C87C42">
      <w:pPr>
        <w:pStyle w:val="EndNoteBibliography"/>
        <w:spacing w:after="0"/>
        <w:ind w:left="720" w:hanging="720"/>
      </w:pPr>
      <w:bookmarkStart w:id="2"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2"/>
    </w:p>
    <w:p w:rsidR="00C87C42" w:rsidRPr="00C87C42" w:rsidRDefault="00C87C42" w:rsidP="00C87C42">
      <w:pPr>
        <w:pStyle w:val="EndNoteBibliography"/>
        <w:spacing w:after="0"/>
        <w:ind w:left="720" w:hanging="720"/>
      </w:pPr>
      <w:bookmarkStart w:id="3"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3"/>
    </w:p>
    <w:p w:rsidR="00C87C42" w:rsidRPr="00C87C42" w:rsidRDefault="00C87C42" w:rsidP="00C87C42">
      <w:pPr>
        <w:pStyle w:val="EndNoteBibliography"/>
        <w:spacing w:after="0"/>
        <w:ind w:left="720" w:hanging="720"/>
      </w:pPr>
      <w:bookmarkStart w:id="4"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4"/>
    </w:p>
    <w:p w:rsidR="00C87C42" w:rsidRPr="00C87C42" w:rsidRDefault="00C87C42" w:rsidP="00C87C42">
      <w:pPr>
        <w:pStyle w:val="EndNoteBibliography"/>
        <w:spacing w:after="0"/>
        <w:ind w:left="720" w:hanging="720"/>
      </w:pPr>
      <w:bookmarkStart w:id="5"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5"/>
    </w:p>
    <w:p w:rsidR="00C87C42" w:rsidRPr="00C87C42" w:rsidRDefault="00C87C42" w:rsidP="00C87C42">
      <w:pPr>
        <w:pStyle w:val="EndNoteBibliography"/>
        <w:spacing w:after="0"/>
        <w:ind w:left="720" w:hanging="720"/>
      </w:pPr>
      <w:bookmarkStart w:id="6"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6"/>
    </w:p>
    <w:p w:rsidR="00C87C42" w:rsidRPr="00C87C42" w:rsidRDefault="00C87C42" w:rsidP="00C87C42">
      <w:pPr>
        <w:pStyle w:val="EndNoteBibliography"/>
        <w:spacing w:after="0"/>
        <w:ind w:left="720" w:hanging="720"/>
      </w:pPr>
      <w:bookmarkStart w:id="7"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7"/>
    </w:p>
    <w:p w:rsidR="00C87C42" w:rsidRPr="00C87C42" w:rsidRDefault="00C87C42" w:rsidP="00C87C42">
      <w:pPr>
        <w:pStyle w:val="EndNoteBibliography"/>
        <w:spacing w:after="0"/>
        <w:ind w:left="720" w:hanging="720"/>
      </w:pPr>
      <w:bookmarkStart w:id="8"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8"/>
    </w:p>
    <w:p w:rsidR="00C87C42" w:rsidRPr="00C87C42" w:rsidRDefault="00C87C42" w:rsidP="00C87C42">
      <w:pPr>
        <w:pStyle w:val="EndNoteBibliography"/>
        <w:spacing w:after="0"/>
        <w:ind w:left="720" w:hanging="720"/>
      </w:pPr>
      <w:bookmarkStart w:id="9"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9"/>
    </w:p>
    <w:p w:rsidR="00C87C42" w:rsidRPr="00C87C42" w:rsidRDefault="00C87C42" w:rsidP="00C87C42">
      <w:pPr>
        <w:pStyle w:val="EndNoteBibliography"/>
        <w:spacing w:after="0"/>
        <w:ind w:left="720" w:hanging="720"/>
      </w:pPr>
      <w:bookmarkStart w:id="10"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0"/>
    </w:p>
    <w:p w:rsidR="00C87C42" w:rsidRPr="00C87C42" w:rsidRDefault="00C87C42" w:rsidP="00C87C42">
      <w:pPr>
        <w:pStyle w:val="EndNoteBibliography"/>
        <w:spacing w:after="0"/>
        <w:ind w:left="720" w:hanging="720"/>
      </w:pPr>
      <w:bookmarkStart w:id="11"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1"/>
    </w:p>
    <w:p w:rsidR="00C87C42" w:rsidRPr="00C87C42" w:rsidRDefault="00C87C42" w:rsidP="00C87C42">
      <w:pPr>
        <w:pStyle w:val="EndNoteBibliography"/>
        <w:spacing w:after="0"/>
        <w:ind w:left="720" w:hanging="720"/>
      </w:pPr>
      <w:bookmarkStart w:id="12"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2"/>
    </w:p>
    <w:p w:rsidR="00C87C42" w:rsidRPr="00C87C42" w:rsidRDefault="00C87C42" w:rsidP="00C87C42">
      <w:pPr>
        <w:pStyle w:val="EndNoteBibliography"/>
        <w:spacing w:after="0"/>
        <w:ind w:left="720" w:hanging="720"/>
      </w:pPr>
      <w:bookmarkStart w:id="13"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3"/>
    </w:p>
    <w:p w:rsidR="00C87C42" w:rsidRPr="00C87C42" w:rsidRDefault="00C87C42" w:rsidP="00C87C42">
      <w:pPr>
        <w:pStyle w:val="EndNoteBibliography"/>
        <w:spacing w:after="0"/>
        <w:ind w:left="720" w:hanging="720"/>
      </w:pPr>
      <w:bookmarkStart w:id="14"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4"/>
    </w:p>
    <w:p w:rsidR="00C87C42" w:rsidRPr="00C87C42" w:rsidRDefault="00C87C42" w:rsidP="00C87C42">
      <w:pPr>
        <w:pStyle w:val="EndNoteBibliography"/>
        <w:spacing w:after="0"/>
        <w:ind w:left="720" w:hanging="720"/>
      </w:pPr>
      <w:bookmarkStart w:id="15"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5"/>
    </w:p>
    <w:p w:rsidR="00C87C42" w:rsidRPr="00C87C42" w:rsidRDefault="00C87C42" w:rsidP="00C87C42">
      <w:pPr>
        <w:pStyle w:val="EndNoteBibliography"/>
        <w:spacing w:after="0"/>
        <w:ind w:left="720" w:hanging="720"/>
      </w:pPr>
      <w:bookmarkStart w:id="16"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6"/>
    </w:p>
    <w:p w:rsidR="00C87C42" w:rsidRPr="00C87C42" w:rsidRDefault="00C87C42" w:rsidP="00C87C42">
      <w:pPr>
        <w:pStyle w:val="EndNoteBibliography"/>
        <w:spacing w:after="0"/>
        <w:ind w:left="720" w:hanging="720"/>
      </w:pPr>
      <w:bookmarkStart w:id="17"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7"/>
    </w:p>
    <w:p w:rsidR="00C87C42" w:rsidRPr="00C87C42" w:rsidRDefault="00C87C42" w:rsidP="00C87C42">
      <w:pPr>
        <w:pStyle w:val="EndNoteBibliography"/>
        <w:spacing w:after="0"/>
        <w:ind w:left="720" w:hanging="720"/>
      </w:pPr>
      <w:bookmarkStart w:id="18"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8"/>
    </w:p>
    <w:p w:rsidR="00C87C42" w:rsidRPr="00C87C42" w:rsidRDefault="00C87C42" w:rsidP="00C87C42">
      <w:pPr>
        <w:pStyle w:val="EndNoteBibliography"/>
        <w:spacing w:after="0"/>
        <w:ind w:left="720" w:hanging="720"/>
      </w:pPr>
      <w:bookmarkStart w:id="19"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19"/>
    </w:p>
    <w:p w:rsidR="00C87C42" w:rsidRPr="00C87C42" w:rsidRDefault="00C87C42" w:rsidP="00C87C42">
      <w:pPr>
        <w:pStyle w:val="EndNoteBibliography"/>
        <w:spacing w:after="0"/>
        <w:ind w:left="720" w:hanging="720"/>
      </w:pPr>
      <w:bookmarkStart w:id="20"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0"/>
    </w:p>
    <w:p w:rsidR="00C87C42" w:rsidRPr="00C87C42" w:rsidRDefault="00C87C42" w:rsidP="00C87C42">
      <w:pPr>
        <w:pStyle w:val="EndNoteBibliography"/>
        <w:spacing w:after="0"/>
        <w:ind w:left="720" w:hanging="720"/>
      </w:pPr>
      <w:bookmarkStart w:id="21"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1"/>
    </w:p>
    <w:p w:rsidR="00C87C42" w:rsidRPr="00C87C42" w:rsidRDefault="00C87C42" w:rsidP="00C87C42">
      <w:pPr>
        <w:pStyle w:val="EndNoteBibliography"/>
        <w:spacing w:after="0"/>
        <w:ind w:left="720" w:hanging="720"/>
      </w:pPr>
      <w:bookmarkStart w:id="22"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2"/>
    </w:p>
    <w:p w:rsidR="00C87C42" w:rsidRPr="00C87C42" w:rsidRDefault="00C87C42" w:rsidP="00C87C42">
      <w:pPr>
        <w:pStyle w:val="EndNoteBibliography"/>
        <w:spacing w:after="0"/>
        <w:ind w:left="720" w:hanging="720"/>
      </w:pPr>
      <w:bookmarkStart w:id="23"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3"/>
    </w:p>
    <w:p w:rsidR="00C87C42" w:rsidRPr="00C87C42" w:rsidRDefault="00C87C42" w:rsidP="00C87C42">
      <w:pPr>
        <w:pStyle w:val="EndNoteBibliography"/>
        <w:spacing w:after="0"/>
        <w:ind w:left="720" w:hanging="720"/>
      </w:pPr>
      <w:bookmarkStart w:id="24"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4"/>
    </w:p>
    <w:p w:rsidR="00C87C42" w:rsidRPr="00C87C42" w:rsidRDefault="00C87C42" w:rsidP="00C87C42">
      <w:pPr>
        <w:pStyle w:val="EndNoteBibliography"/>
        <w:ind w:left="720" w:hanging="720"/>
      </w:pPr>
      <w:bookmarkStart w:id="25"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5"/>
    </w:p>
    <w:p w:rsidR="00236CFE" w:rsidRPr="005F1639" w:rsidRDefault="002814B7" w:rsidP="00E83901">
      <w:pPr>
        <w:spacing w:after="0"/>
        <w:jc w:val="both"/>
        <w:rPr>
          <w:lang w:val="en-GB"/>
        </w:rPr>
      </w:pPr>
      <w:r>
        <w:rPr>
          <w:lang w:val="en-GB"/>
        </w:rPr>
        <w:fldChar w:fldCharType="end"/>
      </w:r>
    </w:p>
    <w:sectPr w:rsidR="00236CFE" w:rsidRPr="005F1639" w:rsidSect="00005785">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7A9" w:rsidRDefault="00CD37A9" w:rsidP="00C22471">
      <w:pPr>
        <w:spacing w:after="0" w:line="240" w:lineRule="auto"/>
      </w:pPr>
      <w:r>
        <w:separator/>
      </w:r>
    </w:p>
  </w:endnote>
  <w:endnote w:type="continuationSeparator" w:id="0">
    <w:p w:rsidR="00CD37A9" w:rsidRDefault="00CD37A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 xml:space="preserve">ibution-ShareAlike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2814B7" w:rsidRPr="00EE5E45">
      <w:rPr>
        <w:b/>
      </w:rPr>
      <w:fldChar w:fldCharType="begin"/>
    </w:r>
    <w:r w:rsidRPr="00EE5E45">
      <w:rPr>
        <w:b/>
      </w:rPr>
      <w:instrText xml:space="preserve"> PAGE </w:instrText>
    </w:r>
    <w:r w:rsidR="002814B7" w:rsidRPr="00EE5E45">
      <w:rPr>
        <w:b/>
      </w:rPr>
      <w:fldChar w:fldCharType="separate"/>
    </w:r>
    <w:r w:rsidR="0039770F">
      <w:rPr>
        <w:b/>
        <w:noProof/>
      </w:rPr>
      <w:t>1</w:t>
    </w:r>
    <w:r w:rsidR="002814B7" w:rsidRPr="00EE5E45">
      <w:rPr>
        <w:b/>
      </w:rPr>
      <w:fldChar w:fldCharType="end"/>
    </w:r>
    <w:r w:rsidRPr="00EE5E45">
      <w:t xml:space="preserve"> of </w:t>
    </w:r>
    <w:r w:rsidR="002814B7" w:rsidRPr="00EE5E45">
      <w:rPr>
        <w:b/>
      </w:rPr>
      <w:fldChar w:fldCharType="begin"/>
    </w:r>
    <w:r w:rsidRPr="00EE5E45">
      <w:rPr>
        <w:b/>
      </w:rPr>
      <w:instrText xml:space="preserve"> NUMPAGES  </w:instrText>
    </w:r>
    <w:r w:rsidR="002814B7" w:rsidRPr="00EE5E45">
      <w:rPr>
        <w:b/>
      </w:rPr>
      <w:fldChar w:fldCharType="separate"/>
    </w:r>
    <w:r w:rsidR="0039770F">
      <w:rPr>
        <w:b/>
        <w:noProof/>
      </w:rPr>
      <w:t>19</w:t>
    </w:r>
    <w:r w:rsidR="002814B7"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7A9" w:rsidRDefault="00CD37A9" w:rsidP="00C22471">
      <w:pPr>
        <w:spacing w:after="0" w:line="240" w:lineRule="auto"/>
      </w:pPr>
      <w:r>
        <w:separator/>
      </w:r>
    </w:p>
  </w:footnote>
  <w:footnote w:type="continuationSeparator" w:id="0">
    <w:p w:rsidR="00CD37A9" w:rsidRDefault="00CD37A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839"/>
    <w:rsid w:val="00257AD5"/>
    <w:rsid w:val="00260576"/>
    <w:rsid w:val="00260D7D"/>
    <w:rsid w:val="00260EC7"/>
    <w:rsid w:val="002615A1"/>
    <w:rsid w:val="00261A7C"/>
    <w:rsid w:val="00262C27"/>
    <w:rsid w:val="00262F21"/>
    <w:rsid w:val="00263108"/>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BD"/>
    <w:rsid w:val="00575A96"/>
    <w:rsid w:val="00575C7E"/>
    <w:rsid w:val="005761C7"/>
    <w:rsid w:val="00576265"/>
    <w:rsid w:val="00582D84"/>
    <w:rsid w:val="00583D11"/>
    <w:rsid w:val="00584EC0"/>
    <w:rsid w:val="00590524"/>
    <w:rsid w:val="00590C1A"/>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726B"/>
    <w:rsid w:val="007472E9"/>
    <w:rsid w:val="00747AA4"/>
    <w:rsid w:val="00750295"/>
    <w:rsid w:val="00750C5B"/>
    <w:rsid w:val="00751A75"/>
    <w:rsid w:val="0075277B"/>
    <w:rsid w:val="00753DBE"/>
    <w:rsid w:val="00755BC9"/>
    <w:rsid w:val="00756CD5"/>
    <w:rsid w:val="00756D8F"/>
    <w:rsid w:val="007570DC"/>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5448"/>
    <w:rsid w:val="00A07955"/>
    <w:rsid w:val="00A12497"/>
    <w:rsid w:val="00A12B5E"/>
    <w:rsid w:val="00A12C27"/>
    <w:rsid w:val="00A138BE"/>
    <w:rsid w:val="00A13D75"/>
    <w:rsid w:val="00A14C20"/>
    <w:rsid w:val="00A1699F"/>
    <w:rsid w:val="00A171C2"/>
    <w:rsid w:val="00A22AD0"/>
    <w:rsid w:val="00A243F8"/>
    <w:rsid w:val="00A246F3"/>
    <w:rsid w:val="00A24E61"/>
    <w:rsid w:val="00A24FE4"/>
    <w:rsid w:val="00A277C5"/>
    <w:rsid w:val="00A30CFC"/>
    <w:rsid w:val="00A311E6"/>
    <w:rsid w:val="00A3198F"/>
    <w:rsid w:val="00A331A9"/>
    <w:rsid w:val="00A3362A"/>
    <w:rsid w:val="00A376B1"/>
    <w:rsid w:val="00A405ED"/>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43C"/>
    <w:rsid w:val="00EA768C"/>
    <w:rsid w:val="00EB0863"/>
    <w:rsid w:val="00EB21C0"/>
    <w:rsid w:val="00EB33F8"/>
    <w:rsid w:val="00EB37B4"/>
    <w:rsid w:val="00EB3AA4"/>
    <w:rsid w:val="00EB3B71"/>
    <w:rsid w:val="00EB4072"/>
    <w:rsid w:val="00EB4276"/>
    <w:rsid w:val="00EB4E57"/>
    <w:rsid w:val="00EC03DC"/>
    <w:rsid w:val="00EC0A91"/>
    <w:rsid w:val="00EC0E5B"/>
    <w:rsid w:val="00EC3302"/>
    <w:rsid w:val="00EC35EF"/>
    <w:rsid w:val="00EC3657"/>
    <w:rsid w:val="00EC3BE3"/>
    <w:rsid w:val="00EC3CA0"/>
    <w:rsid w:val="00EC6657"/>
    <w:rsid w:val="00ED0BFF"/>
    <w:rsid w:val="00ED124C"/>
    <w:rsid w:val="00ED12ED"/>
    <w:rsid w:val="00ED3D9E"/>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F36"/>
    <w:rsid w:val="00F20295"/>
    <w:rsid w:val="00F205EB"/>
    <w:rsid w:val="00F21AEF"/>
    <w:rsid w:val="00F22342"/>
    <w:rsid w:val="00F226C3"/>
    <w:rsid w:val="00F2295B"/>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4" type="connector" idref="#_x0000_s1053"/>
        <o:r id="V:Rule35" type="connector" idref="#_x0000_s1067"/>
        <o:r id="V:Rule36" type="connector" idref="#_x0000_s1072"/>
        <o:r id="V:Rule37" type="connector" idref="#_x0000_s1073"/>
        <o:r id="V:Rule38" type="connector" idref="#_x0000_s1088"/>
        <o:r id="V:Rule39" type="connector" idref="#_x0000_s1091"/>
        <o:r id="V:Rule40" type="connector" idref="#_x0000_s1057"/>
        <o:r id="V:Rule41" type="connector" idref="#_x0000_s1069"/>
        <o:r id="V:Rule42" type="connector" idref="#_x0000_s1075"/>
        <o:r id="V:Rule43" type="connector" idref="#_x0000_s1056"/>
        <o:r id="V:Rule44" type="connector" idref="#_x0000_s1065"/>
        <o:r id="V:Rule45" type="connector" idref="#_x0000_s1093"/>
        <o:r id="V:Rule46" type="connector" idref="#_x0000_s1052"/>
        <o:r id="V:Rule47" type="connector" idref="#_x0000_s1089"/>
        <o:r id="V:Rule48" type="connector" idref="#_x0000_s1095"/>
        <o:r id="V:Rule49" type="connector" idref="#_x0000_s1076"/>
        <o:r id="V:Rule50" type="connector" idref="#_x0000_s1080"/>
        <o:r id="V:Rule51" type="connector" idref="#_x0000_s1092"/>
        <o:r id="V:Rule52" type="connector" idref="#_x0000_s1083"/>
        <o:r id="V:Rule53" type="connector" idref="#_x0000_s1085"/>
        <o:r id="V:Rule54" type="connector" idref="#_x0000_s1077"/>
        <o:r id="V:Rule55" type="connector" idref="#_x0000_s1054"/>
        <o:r id="V:Rule56" type="connector" idref="#_x0000_s1071"/>
        <o:r id="V:Rule57" type="connector" idref="#_x0000_s1079"/>
        <o:r id="V:Rule58" type="connector" idref="#_x0000_s1055"/>
        <o:r id="V:Rule59" type="connector" idref="#_x0000_s1087"/>
        <o:r id="V:Rule60" type="connector" idref="#_x0000_s1081"/>
        <o:r id="V:Rule61" type="connector" idref="#_x0000_s1063"/>
        <o:r id="V:Rule62" type="connector" idref="#_x0000_s1097"/>
        <o:r id="V:Rule63" type="connector" idref="#_x0000_s1064"/>
        <o:r id="V:Rule64" type="connector" idref="#_x0000_s1096"/>
        <o:r id="V:Rule65" type="connector" idref="#_x0000_s1068"/>
        <o:r id="V:Rule66"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2304A-75DF-4C48-8C08-AB1492C34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19</Pages>
  <Words>12990</Words>
  <Characters>68848</Characters>
  <Application>Microsoft Office Word</Application>
  <DocSecurity>0</DocSecurity>
  <Lines>573</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81675</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599</cp:revision>
  <cp:lastPrinted>2013-09-20T14:05:00Z</cp:lastPrinted>
  <dcterms:created xsi:type="dcterms:W3CDTF">2011-09-01T10:00:00Z</dcterms:created>
  <dcterms:modified xsi:type="dcterms:W3CDTF">2014-01-08T13:51:00Z</dcterms:modified>
</cp:coreProperties>
</file>