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85DC1" w14:textId="1AB80DEE" w:rsidR="00934775" w:rsidRDefault="00565111">
      <w:pPr>
        <w:tabs>
          <w:tab w:val="left" w:pos="3509"/>
          <w:tab w:val="left" w:pos="6524"/>
        </w:tabs>
        <w:ind w:left="100"/>
        <w:rPr>
          <w:rFonts w:ascii="Times New Roman"/>
          <w:sz w:val="20"/>
        </w:rPr>
      </w:pPr>
      <w:r>
        <w:rPr>
          <w:rFonts w:ascii="Times New Roman"/>
          <w:noProof/>
          <w:position w:val="1"/>
          <w:sz w:val="20"/>
        </w:rPr>
        <w:drawing>
          <wp:inline distT="0" distB="0" distL="0" distR="0" wp14:anchorId="2F1EE671" wp14:editId="4F7B3D90">
            <wp:extent cx="1598845" cy="45205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598845" cy="452056"/>
                    </a:xfrm>
                    <a:prstGeom prst="rect">
                      <a:avLst/>
                    </a:prstGeom>
                  </pic:spPr>
                </pic:pic>
              </a:graphicData>
            </a:graphic>
          </wp:inline>
        </w:drawing>
      </w:r>
      <w:r>
        <w:rPr>
          <w:rFonts w:ascii="Times New Roman"/>
          <w:position w:val="1"/>
          <w:sz w:val="20"/>
        </w:rPr>
        <w:tab/>
      </w:r>
      <w:r>
        <w:rPr>
          <w:rFonts w:ascii="Times New Roman"/>
          <w:position w:val="9"/>
          <w:sz w:val="20"/>
        </w:rPr>
        <w:tab/>
      </w:r>
    </w:p>
    <w:p w14:paraId="65E7F08D" w14:textId="20A0BE22" w:rsidR="0003197B" w:rsidRDefault="00565111" w:rsidP="0003197B">
      <w:pPr>
        <w:pStyle w:val="Title"/>
        <w:ind w:left="0"/>
      </w:pPr>
      <w:r>
        <w:t>Fuel</w:t>
      </w:r>
      <w:r>
        <w:rPr>
          <w:spacing w:val="-4"/>
        </w:rPr>
        <w:t xml:space="preserve"> </w:t>
      </w:r>
      <w:r>
        <w:t>for</w:t>
      </w:r>
      <w:r>
        <w:rPr>
          <w:spacing w:val="-1"/>
        </w:rPr>
        <w:t xml:space="preserve"> </w:t>
      </w:r>
      <w:r>
        <w:t>Survival</w:t>
      </w:r>
      <w:r w:rsidR="00AB4A77">
        <w:t xml:space="preserve"> (FFS)</w:t>
      </w:r>
    </w:p>
    <w:p w14:paraId="0CF54382" w14:textId="4F331BA6" w:rsidR="00934775" w:rsidRDefault="0003197B" w:rsidP="0003197B">
      <w:pPr>
        <w:pStyle w:val="BodyText"/>
        <w:spacing w:before="266"/>
        <w:ind w:right="185"/>
      </w:pPr>
      <w:r>
        <w:t>Sepsis takes the lives of nearly 1 million n</w:t>
      </w:r>
      <w:r w:rsidR="00BF3BCB">
        <w:t>ewborns</w:t>
      </w:r>
      <w:r>
        <w:t xml:space="preserve"> every year; most of these babies die from sepsis on the first days of their lives. </w:t>
      </w:r>
      <w:r w:rsidR="00F41399">
        <w:t xml:space="preserve">We think that the outcome of newborn infection can be determined within the first hours of life. Low-cost interventions like colostrum feeding and immune boosting can </w:t>
      </w:r>
      <w:r w:rsidR="00737194">
        <w:t>help protect newborns but via largely</w:t>
      </w:r>
      <w:r w:rsidR="00F41399">
        <w:t xml:space="preserve"> unknown mechanisms – meaning that we can’t use these interventions to their fullest potential.</w:t>
      </w:r>
      <w:r w:rsidR="00244D4A">
        <w:t xml:space="preserve"> So far,</w:t>
      </w:r>
      <w:r w:rsidR="00F41399">
        <w:t xml:space="preserve"> </w:t>
      </w:r>
      <w:r w:rsidR="00244D4A">
        <w:t>w</w:t>
      </w:r>
      <w:r>
        <w:t>e identified that boosting the neonate’s immune system with the Bacille Calmette Guerin (BCG) vaccine offers protection from neonatal sepsis by stimulating the neonatal host to rapidly produce mature neutrophils through a process called “</w:t>
      </w:r>
      <w:hyperlink r:id="rId5" w:history="1">
        <w:r w:rsidR="00475816" w:rsidRPr="0024168B">
          <w:rPr>
            <w:rStyle w:val="Hyperlink"/>
          </w:rPr>
          <w:t xml:space="preserve">emergency </w:t>
        </w:r>
        <w:proofErr w:type="spellStart"/>
        <w:r w:rsidR="00475816" w:rsidRPr="0024168B">
          <w:rPr>
            <w:rStyle w:val="Hyperlink"/>
          </w:rPr>
          <w:t>granulopoesis</w:t>
        </w:r>
        <w:proofErr w:type="spellEnd"/>
      </w:hyperlink>
      <w:r>
        <w:t>”</w:t>
      </w:r>
      <w:r w:rsidR="00EC1212">
        <w:t>.</w:t>
      </w:r>
      <w:r>
        <w:t xml:space="preserve"> </w:t>
      </w:r>
      <w:r w:rsidR="00CC76E5">
        <w:t>Coupled with this, we have</w:t>
      </w:r>
      <w:r w:rsidR="00475816">
        <w:t xml:space="preserve"> </w:t>
      </w:r>
      <w:hyperlink r:id="rId6" w:history="1">
        <w:r w:rsidR="00475816" w:rsidRPr="0024168B">
          <w:rPr>
            <w:rStyle w:val="Hyperlink"/>
          </w:rPr>
          <w:t>shown that</w:t>
        </w:r>
      </w:hyperlink>
      <w:r w:rsidR="00475816">
        <w:t xml:space="preserve"> </w:t>
      </w:r>
      <w:r w:rsidR="00CC76E5">
        <w:t>L-arginine and arachidonic acid together can reduce the risk to die from sepsis in animal models; both are found at much higher concentrations in colostrum than in mature breastmilk</w:t>
      </w:r>
      <w:r w:rsidR="00244D4A">
        <w:t xml:space="preserve">. </w:t>
      </w:r>
      <w:r>
        <w:t xml:space="preserve">However, not all neonates benefit from BCG vaccination. We hypothesize that this is because immune boosters like BCG need “fuel” to work. Given the strong relationship between nutrition and immune responses, we are now investigating how there critical first feeds </w:t>
      </w:r>
      <w:r w:rsidR="00737194">
        <w:t>(</w:t>
      </w:r>
      <w:proofErr w:type="gramStart"/>
      <w:r w:rsidR="00737194">
        <w:t>i.e.</w:t>
      </w:r>
      <w:proofErr w:type="gramEnd"/>
      <w:r w:rsidR="00737194">
        <w:t xml:space="preserve"> colostrum) </w:t>
      </w:r>
      <w:r>
        <w:t>impact on neonat</w:t>
      </w:r>
      <w:r w:rsidR="00737194">
        <w:t>al</w:t>
      </w:r>
      <w:r>
        <w:t xml:space="preserve"> immunity and the response to BCG.</w:t>
      </w:r>
    </w:p>
    <w:p w14:paraId="382B9A75" w14:textId="77777777" w:rsidR="00934775" w:rsidRDefault="00934775">
      <w:pPr>
        <w:pStyle w:val="BodyText"/>
        <w:spacing w:before="19"/>
      </w:pPr>
    </w:p>
    <w:p w14:paraId="2098CA2E" w14:textId="6B7A586B" w:rsidR="00AB4A77" w:rsidRDefault="00565111" w:rsidP="0003197B">
      <w:pPr>
        <w:pStyle w:val="BodyText"/>
        <w:ind w:right="117"/>
      </w:pPr>
      <w:r>
        <w:rPr>
          <w:b/>
        </w:rPr>
        <w:t xml:space="preserve">Project details: </w:t>
      </w:r>
      <w:r w:rsidRPr="00AB4A77">
        <w:rPr>
          <w:bCs/>
        </w:rPr>
        <w:t xml:space="preserve">You will be joining our team </w:t>
      </w:r>
      <w:r w:rsidRPr="00475816">
        <w:rPr>
          <w:bCs/>
          <w:color w:val="000000" w:themeColor="text1"/>
        </w:rPr>
        <w:t xml:space="preserve">within </w:t>
      </w:r>
      <w:r w:rsidR="00475816" w:rsidRPr="00475816">
        <w:rPr>
          <w:bCs/>
          <w:color w:val="000000" w:themeColor="text1"/>
          <w:u w:color="0563C1"/>
        </w:rPr>
        <w:t>the</w:t>
      </w:r>
      <w:r w:rsidRPr="00475816">
        <w:rPr>
          <w:bCs/>
          <w:color w:val="000000" w:themeColor="text1"/>
          <w:u w:color="0563C1"/>
        </w:rPr>
        <w:t xml:space="preserve"> Canadian Centre for Vaccinology</w:t>
      </w:r>
      <w:r w:rsidRPr="00475816">
        <w:rPr>
          <w:bCs/>
          <w:color w:val="000000" w:themeColor="text1"/>
        </w:rPr>
        <w:t xml:space="preserve">, and the </w:t>
      </w:r>
      <w:r w:rsidRPr="00475816">
        <w:rPr>
          <w:bCs/>
          <w:color w:val="000000" w:themeColor="text1"/>
          <w:u w:color="0563C1"/>
        </w:rPr>
        <w:t>I3V research cluster</w:t>
      </w:r>
      <w:r w:rsidRPr="00475816">
        <w:rPr>
          <w:bCs/>
          <w:color w:val="000000" w:themeColor="text1"/>
        </w:rPr>
        <w:t xml:space="preserve"> at </w:t>
      </w:r>
      <w:r w:rsidRPr="00475816">
        <w:rPr>
          <w:bCs/>
          <w:color w:val="000000" w:themeColor="text1"/>
          <w:u w:color="0563C1"/>
        </w:rPr>
        <w:t>Dalhousie University</w:t>
      </w:r>
      <w:r w:rsidRPr="00475816">
        <w:rPr>
          <w:bCs/>
          <w:color w:val="000000" w:themeColor="text1"/>
        </w:rPr>
        <w:t xml:space="preserve"> in Halifax</w:t>
      </w:r>
      <w:r w:rsidRPr="00AB4A77">
        <w:rPr>
          <w:bCs/>
        </w:rPr>
        <w:t>, Canada</w:t>
      </w:r>
      <w:r w:rsidR="00AB4A77" w:rsidRPr="00AB4A77">
        <w:rPr>
          <w:bCs/>
        </w:rPr>
        <w:t xml:space="preserve">, including </w:t>
      </w:r>
      <w:r w:rsidR="004F483F">
        <w:rPr>
          <w:bCs/>
        </w:rPr>
        <w:t xml:space="preserve">international </w:t>
      </w:r>
      <w:r w:rsidR="00AB4A77" w:rsidRPr="00AB4A77">
        <w:rPr>
          <w:bCs/>
        </w:rPr>
        <w:t xml:space="preserve">collaborations </w:t>
      </w:r>
      <w:r w:rsidR="004F483F">
        <w:rPr>
          <w:bCs/>
        </w:rPr>
        <w:t xml:space="preserve">(with exchange visits) </w:t>
      </w:r>
      <w:r w:rsidR="00AB4A77" w:rsidRPr="00AB4A77">
        <w:rPr>
          <w:bCs/>
        </w:rPr>
        <w:t>with our partners in</w:t>
      </w:r>
      <w:r w:rsidR="00AB4A77">
        <w:rPr>
          <w:b/>
        </w:rPr>
        <w:t xml:space="preserve"> </w:t>
      </w:r>
      <w:r w:rsidR="00AB4A77">
        <w:t>Denmark, Ghana, Kenya and Guinea Bissau</w:t>
      </w:r>
      <w:r w:rsidR="003D38F0">
        <w:t xml:space="preserve"> (</w:t>
      </w:r>
      <w:r w:rsidR="00737194">
        <w:t>s</w:t>
      </w:r>
      <w:r w:rsidR="003D38F0">
        <w:t xml:space="preserve">ee our </w:t>
      </w:r>
      <w:hyperlink r:id="rId7" w:history="1">
        <w:r w:rsidR="003D38F0" w:rsidRPr="009B5FD3">
          <w:rPr>
            <w:rStyle w:val="Hyperlink"/>
          </w:rPr>
          <w:t>Collaborators</w:t>
        </w:r>
      </w:hyperlink>
      <w:r w:rsidR="003D38F0">
        <w:t>)</w:t>
      </w:r>
      <w:r w:rsidR="00AB4A77">
        <w:t xml:space="preserve">. </w:t>
      </w:r>
      <w:r>
        <w:t>Th</w:t>
      </w:r>
      <w:r w:rsidR="00AB4A77">
        <w:t>e FFS</w:t>
      </w:r>
      <w:r>
        <w:t xml:space="preserve"> project investigates the relationship between colostrum feeding and BCG vaccination to determine whether BCG is rendered ineffective in metabolically ill-equipped (e.g. colostrum deprived) </w:t>
      </w:r>
      <w:r w:rsidR="0003197B">
        <w:t>neonate</w:t>
      </w:r>
      <w:r>
        <w:t xml:space="preserve">s, and if so, what supplementation strategies are most effective at restoring the protective capacity of BCG vaccination. This project </w:t>
      </w:r>
      <w:r w:rsidR="004F483F">
        <w:t>will apply</w:t>
      </w:r>
      <w:r w:rsidR="00AB4A77">
        <w:t xml:space="preserve"> </w:t>
      </w:r>
      <w:r w:rsidR="004F483F">
        <w:t xml:space="preserve">tools of </w:t>
      </w:r>
      <w:r w:rsidR="00AB4A77">
        <w:t>systems and molecular biology</w:t>
      </w:r>
      <w:r w:rsidR="004F483F">
        <w:t xml:space="preserve"> </w:t>
      </w:r>
      <w:r w:rsidR="00AB4A77">
        <w:t>and</w:t>
      </w:r>
      <w:r>
        <w:t xml:space="preserve"> </w:t>
      </w:r>
      <w:r w:rsidR="00AB4A77">
        <w:t>cutting</w:t>
      </w:r>
      <w:r w:rsidR="004F483F">
        <w:t>-</w:t>
      </w:r>
      <w:r w:rsidR="00AB4A77">
        <w:t xml:space="preserve">edge </w:t>
      </w:r>
      <w:r>
        <w:t>methods such as non-invasive metabolic phenotyping using indirect calorimetry.</w:t>
      </w:r>
      <w:r>
        <w:rPr>
          <w:spacing w:val="-2"/>
        </w:rPr>
        <w:t xml:space="preserve"> </w:t>
      </w:r>
      <w:r w:rsidR="004F483F">
        <w:t>You will</w:t>
      </w:r>
      <w:r>
        <w:t xml:space="preserve"> collaborat</w:t>
      </w:r>
      <w:r w:rsidR="004F483F">
        <w:t>e</w:t>
      </w:r>
      <w:r>
        <w:t xml:space="preserve"> with </w:t>
      </w:r>
      <w:r w:rsidR="004F483F">
        <w:t xml:space="preserve">our </w:t>
      </w:r>
      <w:r>
        <w:t xml:space="preserve">partners in </w:t>
      </w:r>
      <w:r w:rsidR="004F483F">
        <w:t xml:space="preserve">large clinical studies </w:t>
      </w:r>
      <w:r w:rsidR="0003197B">
        <w:t xml:space="preserve">(&gt; 3,000 participants) </w:t>
      </w:r>
      <w:r w:rsidR="004F483F">
        <w:t xml:space="preserve">as well as preclinical animal models </w:t>
      </w:r>
      <w:r>
        <w:t xml:space="preserve">to </w:t>
      </w:r>
      <w:r w:rsidR="0003197B">
        <w:t xml:space="preserve">analyze </w:t>
      </w:r>
      <w:r w:rsidR="004F483F">
        <w:t xml:space="preserve">biological </w:t>
      </w:r>
      <w:r>
        <w:t>samples</w:t>
      </w:r>
      <w:r w:rsidR="00AB4A77">
        <w:t xml:space="preserve"> (colostrum, blood, tissue biopsies) relat</w:t>
      </w:r>
      <w:r w:rsidR="004F483F">
        <w:t>ing</w:t>
      </w:r>
      <w:r w:rsidR="00AB4A77">
        <w:t xml:space="preserve"> intervention to </w:t>
      </w:r>
      <w:r w:rsidR="004F483F">
        <w:t xml:space="preserve">clinical </w:t>
      </w:r>
      <w:r w:rsidR="00AB4A77">
        <w:t>outcome</w:t>
      </w:r>
      <w:r w:rsidR="004F483F">
        <w:t xml:space="preserve"> using sophisticated bioinformatic tools.</w:t>
      </w:r>
    </w:p>
    <w:p w14:paraId="2932FEEB" w14:textId="77777777" w:rsidR="00934775" w:rsidRDefault="00934775" w:rsidP="0003197B">
      <w:pPr>
        <w:pStyle w:val="BodyText"/>
        <w:spacing w:before="9"/>
      </w:pPr>
    </w:p>
    <w:p w14:paraId="246A406F" w14:textId="337C6AFB" w:rsidR="00934775" w:rsidRDefault="00565111" w:rsidP="0003197B">
      <w:pPr>
        <w:pStyle w:val="BodyText"/>
        <w:ind w:right="218"/>
      </w:pPr>
      <w:r>
        <w:rPr>
          <w:b/>
        </w:rPr>
        <w:t xml:space="preserve">Candidate characteristics: </w:t>
      </w:r>
      <w:r w:rsidR="00C44E15">
        <w:t>Given</w:t>
      </w:r>
      <w:r w:rsidR="00C44E15">
        <w:rPr>
          <w:spacing w:val="-3"/>
        </w:rPr>
        <w:t xml:space="preserve"> </w:t>
      </w:r>
      <w:r w:rsidR="00C44E15">
        <w:t>the collaborative nature of our work, the individual must be adaptable and motivated to work in diverse team</w:t>
      </w:r>
      <w:r w:rsidR="00C44E15">
        <w:rPr>
          <w:spacing w:val="-3"/>
        </w:rPr>
        <w:t xml:space="preserve"> </w:t>
      </w:r>
      <w:r w:rsidR="00C44E15">
        <w:t>settings.</w:t>
      </w:r>
      <w:r w:rsidR="00C44E15">
        <w:rPr>
          <w:spacing w:val="-2"/>
        </w:rPr>
        <w:t xml:space="preserve"> </w:t>
      </w:r>
      <w:r w:rsidR="00C44E15">
        <w:t>This</w:t>
      </w:r>
      <w:r w:rsidR="00C44E15">
        <w:rPr>
          <w:spacing w:val="-2"/>
        </w:rPr>
        <w:t xml:space="preserve"> </w:t>
      </w:r>
      <w:r w:rsidR="00C44E15">
        <w:t>includes</w:t>
      </w:r>
      <w:r w:rsidR="00C44E15">
        <w:rPr>
          <w:spacing w:val="-2"/>
        </w:rPr>
        <w:t xml:space="preserve"> </w:t>
      </w:r>
      <w:r w:rsidR="00C44E15">
        <w:t>responding</w:t>
      </w:r>
      <w:r w:rsidR="00C44E15">
        <w:rPr>
          <w:spacing w:val="-2"/>
        </w:rPr>
        <w:t xml:space="preserve"> </w:t>
      </w:r>
      <w:r w:rsidR="00C44E15">
        <w:t>well</w:t>
      </w:r>
      <w:r w:rsidR="00C44E15">
        <w:rPr>
          <w:spacing w:val="-2"/>
        </w:rPr>
        <w:t xml:space="preserve"> </w:t>
      </w:r>
      <w:r w:rsidR="00C44E15">
        <w:t>to</w:t>
      </w:r>
      <w:r w:rsidR="00C44E15">
        <w:rPr>
          <w:spacing w:val="-2"/>
        </w:rPr>
        <w:t xml:space="preserve"> </w:t>
      </w:r>
      <w:r w:rsidR="00C44E15">
        <w:t>feedback</w:t>
      </w:r>
      <w:r w:rsidR="00C44E15">
        <w:rPr>
          <w:spacing w:val="-2"/>
        </w:rPr>
        <w:t xml:space="preserve"> </w:t>
      </w:r>
      <w:r w:rsidR="00C44E15">
        <w:t>and</w:t>
      </w:r>
      <w:r w:rsidR="00C44E15">
        <w:rPr>
          <w:spacing w:val="-2"/>
        </w:rPr>
        <w:t xml:space="preserve"> </w:t>
      </w:r>
      <w:r w:rsidR="00C44E15">
        <w:t>being</w:t>
      </w:r>
      <w:r w:rsidR="00C44E15">
        <w:rPr>
          <w:spacing w:val="-2"/>
        </w:rPr>
        <w:t xml:space="preserve"> </w:t>
      </w:r>
      <w:r w:rsidR="00C44E15">
        <w:t>willing</w:t>
      </w:r>
      <w:r w:rsidR="00C44E15">
        <w:rPr>
          <w:spacing w:val="-2"/>
        </w:rPr>
        <w:t xml:space="preserve"> </w:t>
      </w:r>
      <w:r w:rsidR="00C44E15">
        <w:t>to</w:t>
      </w:r>
      <w:r w:rsidR="00C44E15">
        <w:rPr>
          <w:spacing w:val="-2"/>
        </w:rPr>
        <w:t xml:space="preserve"> </w:t>
      </w:r>
      <w:r w:rsidR="00C44E15">
        <w:t>follow</w:t>
      </w:r>
      <w:r w:rsidR="00C44E15">
        <w:rPr>
          <w:spacing w:val="-2"/>
        </w:rPr>
        <w:t xml:space="preserve"> </w:t>
      </w:r>
      <w:r w:rsidR="00C44E15">
        <w:t>or</w:t>
      </w:r>
      <w:r w:rsidR="00C44E15">
        <w:rPr>
          <w:spacing w:val="-2"/>
        </w:rPr>
        <w:t xml:space="preserve"> </w:t>
      </w:r>
      <w:r w:rsidR="00C44E15">
        <w:t>to</w:t>
      </w:r>
      <w:r w:rsidR="00C44E15">
        <w:rPr>
          <w:spacing w:val="-2"/>
        </w:rPr>
        <w:t xml:space="preserve"> </w:t>
      </w:r>
      <w:r w:rsidR="00C44E15">
        <w:t>lead,</w:t>
      </w:r>
      <w:r w:rsidR="00C44E15">
        <w:rPr>
          <w:spacing w:val="-2"/>
        </w:rPr>
        <w:t xml:space="preserve"> </w:t>
      </w:r>
      <w:r w:rsidR="00C44E15">
        <w:t>as</w:t>
      </w:r>
      <w:r w:rsidR="00C44E15">
        <w:rPr>
          <w:spacing w:val="-2"/>
        </w:rPr>
        <w:t xml:space="preserve"> </w:t>
      </w:r>
      <w:r w:rsidR="00C44E15">
        <w:t xml:space="preserve">the situation demands. </w:t>
      </w:r>
      <w:r w:rsidR="00737194">
        <w:t>This team approach also will require</w:t>
      </w:r>
      <w:r w:rsidR="00737194">
        <w:rPr>
          <w:spacing w:val="-3"/>
        </w:rPr>
        <w:t xml:space="preserve"> </w:t>
      </w:r>
      <w:r w:rsidR="00737194">
        <w:t>flexible</w:t>
      </w:r>
      <w:r w:rsidR="00737194">
        <w:rPr>
          <w:spacing w:val="-3"/>
        </w:rPr>
        <w:t xml:space="preserve"> </w:t>
      </w:r>
      <w:r w:rsidR="00737194">
        <w:t>hours,</w:t>
      </w:r>
      <w:r w:rsidR="00737194">
        <w:rPr>
          <w:spacing w:val="-3"/>
        </w:rPr>
        <w:t xml:space="preserve"> </w:t>
      </w:r>
      <w:r w:rsidR="00737194">
        <w:t>including</w:t>
      </w:r>
      <w:r w:rsidR="00737194">
        <w:rPr>
          <w:spacing w:val="-3"/>
        </w:rPr>
        <w:t xml:space="preserve"> occasional </w:t>
      </w:r>
      <w:r w:rsidR="00737194">
        <w:t>weekends</w:t>
      </w:r>
      <w:r w:rsidR="00737194">
        <w:rPr>
          <w:spacing w:val="-3"/>
        </w:rPr>
        <w:t xml:space="preserve"> </w:t>
      </w:r>
      <w:r w:rsidR="00737194">
        <w:t>or</w:t>
      </w:r>
      <w:r w:rsidR="00737194">
        <w:rPr>
          <w:spacing w:val="-3"/>
        </w:rPr>
        <w:t xml:space="preserve"> </w:t>
      </w:r>
      <w:r w:rsidR="00737194">
        <w:t xml:space="preserve">nights. </w:t>
      </w:r>
      <w:r w:rsidR="00C44E15">
        <w:t xml:space="preserve">Our team has a strong commitment to EDIA and expects all lab members to undertake EDIA training to create an inclusive and welcoming environment where students and staff from low- and high- resource settings can learn together and thrive. </w:t>
      </w:r>
      <w:r w:rsidR="00A21090">
        <w:t>Candidates should be self-</w:t>
      </w:r>
      <w:r w:rsidR="00737194">
        <w:t>motivated</w:t>
      </w:r>
      <w:r w:rsidR="00A21090">
        <w:t xml:space="preserve"> and take initiative to drive their work forward, while adhering to lab processes for data collection, data analysis, and record</w:t>
      </w:r>
      <w:r w:rsidR="00CE075D">
        <w:t>-k</w:t>
      </w:r>
      <w:r w:rsidR="00A21090">
        <w:t xml:space="preserve">eeping. </w:t>
      </w:r>
      <w:r>
        <w:t>Prior experience</w:t>
      </w:r>
      <w:r w:rsidR="00B055E9">
        <w:t xml:space="preserve"> </w:t>
      </w:r>
      <w:r w:rsidR="00737194">
        <w:t xml:space="preserve">is </w:t>
      </w:r>
      <w:r w:rsidR="00B055E9">
        <w:t>highly desirable</w:t>
      </w:r>
      <w:r>
        <w:t xml:space="preserve"> in either wet bench/preclinical work, bioinformatics, or both</w:t>
      </w:r>
      <w:r w:rsidR="00737194">
        <w:t>, but in</w:t>
      </w:r>
      <w:r>
        <w:t xml:space="preserve">dividuals </w:t>
      </w:r>
      <w:r w:rsidR="00737194">
        <w:t xml:space="preserve">who lack this experience yet have </w:t>
      </w:r>
      <w:r>
        <w:t xml:space="preserve">a strong motivation to learn would also be considered. </w:t>
      </w:r>
    </w:p>
    <w:p w14:paraId="1B36AB9B" w14:textId="77777777" w:rsidR="00934775" w:rsidRDefault="00934775" w:rsidP="0003197B">
      <w:pPr>
        <w:pStyle w:val="BodyText"/>
        <w:spacing w:before="1"/>
      </w:pPr>
    </w:p>
    <w:p w14:paraId="1B622583" w14:textId="5D2C098D" w:rsidR="00934775" w:rsidRPr="004F483F" w:rsidRDefault="00565111" w:rsidP="0003197B">
      <w:pPr>
        <w:spacing w:before="1" w:line="265" w:lineRule="exact"/>
        <w:rPr>
          <w:bCs/>
          <w:sz w:val="20"/>
        </w:rPr>
      </w:pPr>
      <w:r>
        <w:rPr>
          <w:b/>
          <w:sz w:val="20"/>
        </w:rPr>
        <w:t>Interested?</w:t>
      </w:r>
      <w:r>
        <w:rPr>
          <w:b/>
          <w:spacing w:val="-7"/>
          <w:sz w:val="20"/>
        </w:rPr>
        <w:t xml:space="preserve"> </w:t>
      </w:r>
      <w:r w:rsidRPr="004F483F">
        <w:rPr>
          <w:bCs/>
          <w:sz w:val="20"/>
        </w:rPr>
        <w:t>Get</w:t>
      </w:r>
      <w:r w:rsidRPr="004F483F">
        <w:rPr>
          <w:bCs/>
          <w:spacing w:val="-7"/>
          <w:sz w:val="20"/>
        </w:rPr>
        <w:t xml:space="preserve"> </w:t>
      </w:r>
      <w:r w:rsidRPr="004F483F">
        <w:rPr>
          <w:bCs/>
          <w:sz w:val="20"/>
        </w:rPr>
        <w:t>in</w:t>
      </w:r>
      <w:r w:rsidRPr="004F483F">
        <w:rPr>
          <w:bCs/>
          <w:spacing w:val="-6"/>
          <w:sz w:val="20"/>
        </w:rPr>
        <w:t xml:space="preserve"> </w:t>
      </w:r>
      <w:r w:rsidRPr="004F483F">
        <w:rPr>
          <w:bCs/>
          <w:spacing w:val="-2"/>
          <w:sz w:val="20"/>
        </w:rPr>
        <w:t>touch</w:t>
      </w:r>
      <w:r w:rsidR="004F483F">
        <w:rPr>
          <w:bCs/>
          <w:spacing w:val="-2"/>
          <w:sz w:val="20"/>
        </w:rPr>
        <w:t>. We have funding secured for PhD student as well as post-doctoral candidates.</w:t>
      </w:r>
    </w:p>
    <w:p w14:paraId="1F45E204" w14:textId="77777777" w:rsidR="00934775" w:rsidRDefault="00565111" w:rsidP="0003197B">
      <w:pPr>
        <w:spacing w:line="265" w:lineRule="exact"/>
        <w:rPr>
          <w:sz w:val="20"/>
        </w:rPr>
      </w:pPr>
      <w:r>
        <w:rPr>
          <w:b/>
          <w:spacing w:val="-2"/>
          <w:sz w:val="20"/>
        </w:rPr>
        <w:t>Prof.</w:t>
      </w:r>
      <w:r>
        <w:rPr>
          <w:b/>
          <w:spacing w:val="-6"/>
          <w:sz w:val="20"/>
        </w:rPr>
        <w:t xml:space="preserve"> </w:t>
      </w:r>
      <w:r>
        <w:rPr>
          <w:b/>
          <w:spacing w:val="-2"/>
          <w:sz w:val="20"/>
        </w:rPr>
        <w:t>Tobias</w:t>
      </w:r>
      <w:r>
        <w:rPr>
          <w:b/>
          <w:spacing w:val="-5"/>
          <w:sz w:val="20"/>
        </w:rPr>
        <w:t xml:space="preserve"> </w:t>
      </w:r>
      <w:r>
        <w:rPr>
          <w:b/>
          <w:spacing w:val="-2"/>
          <w:sz w:val="20"/>
        </w:rPr>
        <w:t>Kollmann:</w:t>
      </w:r>
      <w:r>
        <w:rPr>
          <w:b/>
          <w:spacing w:val="-4"/>
          <w:sz w:val="20"/>
        </w:rPr>
        <w:t xml:space="preserve"> </w:t>
      </w:r>
      <w:hyperlink r:id="rId8">
        <w:r>
          <w:rPr>
            <w:spacing w:val="-2"/>
            <w:sz w:val="20"/>
          </w:rPr>
          <w:t>tkollm@mac.com</w:t>
        </w:r>
      </w:hyperlink>
    </w:p>
    <w:p w14:paraId="3353DB26" w14:textId="77777777" w:rsidR="003D38F0" w:rsidRDefault="00565111" w:rsidP="0003197B">
      <w:pPr>
        <w:spacing w:before="2"/>
        <w:rPr>
          <w:spacing w:val="-2"/>
          <w:sz w:val="20"/>
        </w:rPr>
      </w:pPr>
      <w:r>
        <w:rPr>
          <w:b/>
          <w:sz w:val="20"/>
        </w:rPr>
        <w:t>Dr.</w:t>
      </w:r>
      <w:r>
        <w:rPr>
          <w:b/>
          <w:spacing w:val="-14"/>
          <w:sz w:val="20"/>
        </w:rPr>
        <w:t xml:space="preserve"> </w:t>
      </w:r>
      <w:r>
        <w:rPr>
          <w:b/>
          <w:sz w:val="20"/>
        </w:rPr>
        <w:t>Nelly</w:t>
      </w:r>
      <w:r>
        <w:rPr>
          <w:b/>
          <w:spacing w:val="-13"/>
          <w:sz w:val="20"/>
        </w:rPr>
        <w:t xml:space="preserve"> </w:t>
      </w:r>
      <w:r>
        <w:rPr>
          <w:b/>
          <w:sz w:val="20"/>
        </w:rPr>
        <w:t>Amenyogbe:</w:t>
      </w:r>
      <w:r>
        <w:rPr>
          <w:b/>
          <w:spacing w:val="-13"/>
          <w:sz w:val="20"/>
        </w:rPr>
        <w:t xml:space="preserve"> </w:t>
      </w:r>
      <w:hyperlink r:id="rId9">
        <w:r>
          <w:rPr>
            <w:spacing w:val="-2"/>
            <w:sz w:val="20"/>
          </w:rPr>
          <w:t>nelly.amenyogbe@dal.ca</w:t>
        </w:r>
      </w:hyperlink>
    </w:p>
    <w:p w14:paraId="56FC7B9C" w14:textId="42AACE72" w:rsidR="00934775" w:rsidRDefault="00934775" w:rsidP="0003197B">
      <w:pPr>
        <w:spacing w:before="2"/>
        <w:rPr>
          <w:spacing w:val="-2"/>
          <w:sz w:val="20"/>
        </w:rPr>
      </w:pPr>
    </w:p>
    <w:sectPr w:rsidR="00934775">
      <w:type w:val="continuous"/>
      <w:pgSz w:w="11900" w:h="16840"/>
      <w:pgMar w:top="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Segoe U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2f9tepz7epx0reevd4pf5tuwsftxz0tdesv&quot;&gt;My EndNote Library-Converted&lt;record-ids&gt;&lt;item&gt;1250&lt;/item&gt;&lt;item&gt;1251&lt;/item&gt;&lt;/record-ids&gt;&lt;/item&gt;&lt;/Libraries&gt;"/>
  </w:docVars>
  <w:rsids>
    <w:rsidRoot w:val="00934775"/>
    <w:rsid w:val="0003197B"/>
    <w:rsid w:val="0024168B"/>
    <w:rsid w:val="00244D4A"/>
    <w:rsid w:val="003D38F0"/>
    <w:rsid w:val="00475816"/>
    <w:rsid w:val="004F483F"/>
    <w:rsid w:val="00565111"/>
    <w:rsid w:val="00737194"/>
    <w:rsid w:val="00934775"/>
    <w:rsid w:val="009351CE"/>
    <w:rsid w:val="009B5FD3"/>
    <w:rsid w:val="009F22D5"/>
    <w:rsid w:val="00A21090"/>
    <w:rsid w:val="00AB4A77"/>
    <w:rsid w:val="00B055E9"/>
    <w:rsid w:val="00BF3BCB"/>
    <w:rsid w:val="00C44E15"/>
    <w:rsid w:val="00CC76E5"/>
    <w:rsid w:val="00CE075D"/>
    <w:rsid w:val="00E228B5"/>
    <w:rsid w:val="00EC1212"/>
    <w:rsid w:val="00F413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FA81"/>
  <w15:docId w15:val="{32584D5A-2F95-7745-8C20-0EE6C0FD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ind w:left="100"/>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AB4A77"/>
    <w:rPr>
      <w:sz w:val="16"/>
      <w:szCs w:val="16"/>
    </w:rPr>
  </w:style>
  <w:style w:type="paragraph" w:styleId="CommentText">
    <w:name w:val="annotation text"/>
    <w:basedOn w:val="Normal"/>
    <w:link w:val="CommentTextChar"/>
    <w:uiPriority w:val="99"/>
    <w:semiHidden/>
    <w:unhideWhenUsed/>
    <w:rsid w:val="00AB4A77"/>
    <w:rPr>
      <w:sz w:val="20"/>
      <w:szCs w:val="20"/>
    </w:rPr>
  </w:style>
  <w:style w:type="character" w:customStyle="1" w:styleId="CommentTextChar">
    <w:name w:val="Comment Text Char"/>
    <w:basedOn w:val="DefaultParagraphFont"/>
    <w:link w:val="CommentText"/>
    <w:uiPriority w:val="99"/>
    <w:semiHidden/>
    <w:rsid w:val="00AB4A77"/>
    <w:rPr>
      <w:rFonts w:ascii="Segoe UI" w:eastAsia="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AB4A77"/>
    <w:rPr>
      <w:b/>
      <w:bCs/>
    </w:rPr>
  </w:style>
  <w:style w:type="character" w:customStyle="1" w:styleId="CommentSubjectChar">
    <w:name w:val="Comment Subject Char"/>
    <w:basedOn w:val="CommentTextChar"/>
    <w:link w:val="CommentSubject"/>
    <w:uiPriority w:val="99"/>
    <w:semiHidden/>
    <w:rsid w:val="00AB4A77"/>
    <w:rPr>
      <w:rFonts w:ascii="Segoe UI" w:eastAsia="Segoe UI" w:hAnsi="Segoe UI" w:cs="Segoe UI"/>
      <w:b/>
      <w:bCs/>
      <w:sz w:val="20"/>
      <w:szCs w:val="20"/>
    </w:rPr>
  </w:style>
  <w:style w:type="character" w:styleId="Hyperlink">
    <w:name w:val="Hyperlink"/>
    <w:basedOn w:val="DefaultParagraphFont"/>
    <w:uiPriority w:val="99"/>
    <w:unhideWhenUsed/>
    <w:rsid w:val="004F483F"/>
    <w:rPr>
      <w:color w:val="0000FF" w:themeColor="hyperlink"/>
      <w:u w:val="single"/>
    </w:rPr>
  </w:style>
  <w:style w:type="character" w:styleId="UnresolvedMention">
    <w:name w:val="Unresolved Mention"/>
    <w:basedOn w:val="DefaultParagraphFont"/>
    <w:uiPriority w:val="99"/>
    <w:semiHidden/>
    <w:unhideWhenUsed/>
    <w:rsid w:val="004F483F"/>
    <w:rPr>
      <w:color w:val="605E5C"/>
      <w:shd w:val="clear" w:color="auto" w:fill="E1DFDD"/>
    </w:rPr>
  </w:style>
  <w:style w:type="paragraph" w:customStyle="1" w:styleId="EndNoteBibliographyTitle">
    <w:name w:val="EndNote Bibliography Title"/>
    <w:basedOn w:val="Normal"/>
    <w:link w:val="EndNoteBibliographyTitleChar"/>
    <w:rsid w:val="003D38F0"/>
    <w:pPr>
      <w:jc w:val="center"/>
    </w:pPr>
  </w:style>
  <w:style w:type="character" w:customStyle="1" w:styleId="BodyTextChar">
    <w:name w:val="Body Text Char"/>
    <w:basedOn w:val="DefaultParagraphFont"/>
    <w:link w:val="BodyText"/>
    <w:uiPriority w:val="1"/>
    <w:rsid w:val="003D38F0"/>
    <w:rPr>
      <w:rFonts w:ascii="Segoe UI" w:eastAsia="Segoe UI" w:hAnsi="Segoe UI" w:cs="Segoe UI"/>
      <w:sz w:val="20"/>
      <w:szCs w:val="20"/>
    </w:rPr>
  </w:style>
  <w:style w:type="character" w:customStyle="1" w:styleId="EndNoteBibliographyTitleChar">
    <w:name w:val="EndNote Bibliography Title Char"/>
    <w:basedOn w:val="BodyTextChar"/>
    <w:link w:val="EndNoteBibliographyTitle"/>
    <w:rsid w:val="003D38F0"/>
    <w:rPr>
      <w:rFonts w:ascii="Segoe UI" w:eastAsia="Segoe UI" w:hAnsi="Segoe UI" w:cs="Segoe UI"/>
      <w:sz w:val="20"/>
      <w:szCs w:val="20"/>
    </w:rPr>
  </w:style>
  <w:style w:type="paragraph" w:customStyle="1" w:styleId="EndNoteBibliography">
    <w:name w:val="EndNote Bibliography"/>
    <w:basedOn w:val="Normal"/>
    <w:link w:val="EndNoteBibliographyChar"/>
    <w:rsid w:val="003D38F0"/>
  </w:style>
  <w:style w:type="character" w:customStyle="1" w:styleId="EndNoteBibliographyChar">
    <w:name w:val="EndNote Bibliography Char"/>
    <w:basedOn w:val="BodyTextChar"/>
    <w:link w:val="EndNoteBibliography"/>
    <w:rsid w:val="003D38F0"/>
    <w:rPr>
      <w:rFonts w:ascii="Segoe UI" w:eastAsia="Segoe UI" w:hAnsi="Segoe UI" w:cs="Segoe UI"/>
      <w:sz w:val="20"/>
      <w:szCs w:val="20"/>
    </w:rPr>
  </w:style>
  <w:style w:type="character" w:styleId="FollowedHyperlink">
    <w:name w:val="FollowedHyperlink"/>
    <w:basedOn w:val="DefaultParagraphFont"/>
    <w:uiPriority w:val="99"/>
    <w:semiHidden/>
    <w:unhideWhenUsed/>
    <w:rsid w:val="007371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kollm@mac.com" TargetMode="External"/><Relationship Id="rId3" Type="http://schemas.openxmlformats.org/officeDocument/2006/relationships/webSettings" Target="webSettings.xml"/><Relationship Id="rId7" Type="http://schemas.openxmlformats.org/officeDocument/2006/relationships/hyperlink" Target="https://immuneresilience.github.io/tea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articles/s41598-024-62195-9" TargetMode="External"/><Relationship Id="rId11" Type="http://schemas.openxmlformats.org/officeDocument/2006/relationships/theme" Target="theme/theme1.xml"/><Relationship Id="rId5" Type="http://schemas.openxmlformats.org/officeDocument/2006/relationships/hyperlink" Target="https://www.science.org/doi/10.1126/scitranslmed.aax4517"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nelly.amenyogbe@da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Immres_projects_2024</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Immres_projects_2024</dc:title>
  <dc:creator>Nelly Amenyogbe</dc:creator>
  <cp:lastModifiedBy>Nelly Amenyogbe</cp:lastModifiedBy>
  <cp:revision>19</cp:revision>
  <cp:lastPrinted>2024-10-04T17:34:00Z</cp:lastPrinted>
  <dcterms:created xsi:type="dcterms:W3CDTF">2024-09-23T16:38:00Z</dcterms:created>
  <dcterms:modified xsi:type="dcterms:W3CDTF">2024-10-04T17:36:00Z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2024-05-10T00:00:00Z</vt:filetime>
  </property>
  <property fmtid="{D5CDD505-2E9C-101B-9397-08002B2CF9AE}" pid="3" name="Creator">
    <vt:lpwstr>Word</vt:lpwstr>
  </property>
  <property fmtid="{D5CDD505-2E9C-101B-9397-08002B2CF9AE}" pid="4" name="LastSaved">
    <vt:filetime>2024-09-23T00:00:00Z</vt:filetime>
  </property>
  <property fmtid="{D5CDD505-2E9C-101B-9397-08002B2CF9AE}" pid="5" name="Producer">
    <vt:lpwstr>macOS Version 14.0 (Build 23A344) Quartz PDFContext</vt:lpwstr>
  </property>
</Properties>
</file>