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A26B" w14:textId="77777777" w:rsidR="00FF3773" w:rsidRPr="00FF3773" w:rsidRDefault="00FF3773" w:rsidP="00FF3773">
      <w:pPr>
        <w:rPr>
          <w:sz w:val="28"/>
          <w:szCs w:val="28"/>
          <w:u w:val="single"/>
        </w:rPr>
      </w:pPr>
      <w:r w:rsidRPr="00FF3773">
        <w:rPr>
          <w:sz w:val="28"/>
          <w:szCs w:val="28"/>
          <w:u w:val="single"/>
        </w:rPr>
        <w:t>Big 5 Factors</w:t>
      </w:r>
    </w:p>
    <w:p w14:paraId="1F809F44" w14:textId="2B865F86" w:rsidR="00FF3773" w:rsidRPr="008C7F59" w:rsidRDefault="00FF3773" w:rsidP="00FF37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</w:pPr>
      <w:r w:rsidRPr="008C7F59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 xml:space="preserve">Results </w:t>
      </w:r>
      <w:r w:rsidR="0054350A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>S</w:t>
      </w:r>
      <w:r w:rsidRPr="008C7F59">
        <w:rPr>
          <w:rFonts w:eastAsia="Times New Roman" w:cstheme="minorHAnsi"/>
          <w:b/>
          <w:bCs/>
          <w:color w:val="000000"/>
          <w:sz w:val="27"/>
          <w:szCs w:val="27"/>
          <w:lang w:eastAsia="en-AU"/>
        </w:rPr>
        <w:t>ummary</w:t>
      </w:r>
    </w:p>
    <w:p w14:paraId="246AB69E" w14:textId="77777777" w:rsidR="00FF3773" w:rsidRPr="008C7F59" w:rsidRDefault="00FF3773" w:rsidP="00FF3773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8C7F59">
        <w:rPr>
          <w:rFonts w:eastAsia="Times New Roman" w:cstheme="minorHAnsi"/>
          <w:color w:val="000000"/>
          <w:lang w:eastAsia="en-AU"/>
        </w:rPr>
        <w:t xml:space="preserve">Your results from the IPIP Big Five Factor Markers are in the table below. The table contains a raw score </w:t>
      </w:r>
      <w:proofErr w:type="gramStart"/>
      <w:r w:rsidRPr="008C7F59">
        <w:rPr>
          <w:rFonts w:eastAsia="Times New Roman" w:cstheme="minorHAnsi"/>
          <w:color w:val="000000"/>
          <w:lang w:eastAsia="en-AU"/>
        </w:rPr>
        <w:t>and also</w:t>
      </w:r>
      <w:proofErr w:type="gramEnd"/>
      <w:r w:rsidRPr="008C7F59">
        <w:rPr>
          <w:rFonts w:eastAsia="Times New Roman" w:cstheme="minorHAnsi"/>
          <w:color w:val="000000"/>
          <w:lang w:eastAsia="en-AU"/>
        </w:rPr>
        <w:t xml:space="preserve"> a percentile, what percent of other people who have taken this test that you score higher than.</w:t>
      </w:r>
      <w:r w:rsidRPr="008C7F59">
        <w:rPr>
          <w:rFonts w:eastAsia="Times New Roman" w:cstheme="minorHAnsi"/>
          <w:color w:val="000000"/>
          <w:lang w:eastAsia="en-AU"/>
        </w:rPr>
        <w:br/>
      </w:r>
      <w:r w:rsidRPr="008C7F59">
        <w:rPr>
          <w:rFonts w:eastAsia="Times New Roman" w:cstheme="minorHAnsi"/>
          <w:color w:val="000000"/>
          <w:lang w:eastAsia="en-AU"/>
        </w:rPr>
        <w:br/>
      </w:r>
    </w:p>
    <w:p w14:paraId="2CEC923F" w14:textId="77777777" w:rsidR="00FF3773" w:rsidRPr="008C7F59" w:rsidRDefault="00FF3773" w:rsidP="00FF3773">
      <w:pPr>
        <w:spacing w:after="0" w:line="240" w:lineRule="auto"/>
        <w:jc w:val="center"/>
        <w:rPr>
          <w:rFonts w:eastAsia="Times New Roman" w:cstheme="minorHAnsi"/>
          <w:color w:val="000000"/>
          <w:lang w:eastAsia="en-AU"/>
        </w:rPr>
      </w:pPr>
      <w:r w:rsidRPr="008C7F59">
        <w:rPr>
          <w:rFonts w:eastAsia="Times New Roman" w:cstheme="minorHAnsi"/>
          <w:noProof/>
          <w:color w:val="000000"/>
          <w:lang w:eastAsia="en-AU"/>
        </w:rPr>
        <w:drawing>
          <wp:inline distT="0" distB="0" distL="0" distR="0" wp14:anchorId="2B3464AF" wp14:editId="1407647E">
            <wp:extent cx="49530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05"/>
        <w:gridCol w:w="1805"/>
        <w:gridCol w:w="1805"/>
        <w:gridCol w:w="1805"/>
      </w:tblGrid>
      <w:tr w:rsidR="00FF3773" w:rsidRPr="008C7F59" w14:paraId="68D57428" w14:textId="77777777" w:rsidTr="00D91ADD">
        <w:trPr>
          <w:tblCellSpacing w:w="0" w:type="dxa"/>
        </w:trPr>
        <w:tc>
          <w:tcPr>
            <w:tcW w:w="1000" w:type="pct"/>
            <w:shd w:val="clear" w:color="auto" w:fill="22C122"/>
            <w:vAlign w:val="center"/>
            <w:hideMark/>
          </w:tcPr>
          <w:p w14:paraId="0AB3379F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r w:rsidRPr="008C7F59">
              <w:rPr>
                <w:rFonts w:cstheme="minorHAnsi"/>
                <w:color w:val="000000"/>
              </w:rPr>
              <w:t>Factor I</w:t>
            </w:r>
          </w:p>
        </w:tc>
        <w:tc>
          <w:tcPr>
            <w:tcW w:w="1000" w:type="pct"/>
            <w:vAlign w:val="center"/>
            <w:hideMark/>
          </w:tcPr>
          <w:p w14:paraId="1869777D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5" w:anchor="_II" w:history="1">
              <w:r w:rsidRPr="008C7F59">
                <w:rPr>
                  <w:rStyle w:val="Hyperlink"/>
                  <w:rFonts w:cstheme="minorHAnsi"/>
                </w:rPr>
                <w:t>Factor 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2119B264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6" w:anchor="_III" w:history="1">
              <w:r w:rsidRPr="008C7F59">
                <w:rPr>
                  <w:rStyle w:val="Hyperlink"/>
                  <w:rFonts w:cstheme="minorHAnsi"/>
                </w:rPr>
                <w:t>Factor III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71DD7C75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7" w:anchor="_IV" w:history="1">
              <w:r w:rsidRPr="008C7F59">
                <w:rPr>
                  <w:rStyle w:val="Hyperlink"/>
                  <w:rFonts w:cstheme="minorHAnsi"/>
                </w:rPr>
                <w:t>Factor IV</w:t>
              </w:r>
            </w:hyperlink>
          </w:p>
        </w:tc>
        <w:tc>
          <w:tcPr>
            <w:tcW w:w="1000" w:type="pct"/>
            <w:vAlign w:val="center"/>
            <w:hideMark/>
          </w:tcPr>
          <w:p w14:paraId="58FC79B2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8" w:anchor="_V" w:history="1">
              <w:r w:rsidRPr="008C7F59">
                <w:rPr>
                  <w:rStyle w:val="Hyperlink"/>
                  <w:rFonts w:cstheme="minorHAnsi"/>
                </w:rPr>
                <w:t>Factor V</w:t>
              </w:r>
            </w:hyperlink>
          </w:p>
        </w:tc>
      </w:tr>
      <w:tr w:rsidR="00FF3773" w:rsidRPr="008C7F59" w14:paraId="3EF1B940" w14:textId="77777777" w:rsidTr="00D91ADD">
        <w:trPr>
          <w:tblCellSpacing w:w="0" w:type="dxa"/>
        </w:trPr>
        <w:tc>
          <w:tcPr>
            <w:tcW w:w="0" w:type="auto"/>
            <w:gridSpan w:val="5"/>
            <w:tcBorders>
              <w:top w:val="single" w:sz="12" w:space="0" w:color="22C122"/>
              <w:left w:val="single" w:sz="12" w:space="0" w:color="22C122"/>
              <w:bottom w:val="single" w:sz="12" w:space="0" w:color="22C122"/>
              <w:right w:val="single" w:sz="12" w:space="0" w:color="22C12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62235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Factor I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was labelled as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Extroversion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by the developers of the IPIP-BFFM. Factor I </w:t>
            </w:r>
            <w:proofErr w:type="gram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</w:t>
            </w:r>
            <w:proofErr w:type="gram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sometimes given other names, such as Surgency or Positive Emotionality.</w:t>
            </w:r>
          </w:p>
          <w:p w14:paraId="34EB38E0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Individuals who score high on Factor I one </w:t>
            </w:r>
            <w:proofErr w:type="gram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</w:t>
            </w:r>
            <w:proofErr w:type="gram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outgoing and social. Individuals who score low tend to be shut ins.</w:t>
            </w:r>
          </w:p>
        </w:tc>
      </w:tr>
      <w:tr w:rsidR="00FF3773" w:rsidRPr="008C7F59" w14:paraId="0DD6F414" w14:textId="77777777" w:rsidTr="00D91ADD">
        <w:trPr>
          <w:tblCellSpacing w:w="0" w:type="dxa"/>
        </w:trPr>
        <w:tc>
          <w:tcPr>
            <w:tcW w:w="1000" w:type="pct"/>
            <w:vAlign w:val="center"/>
            <w:hideMark/>
          </w:tcPr>
          <w:p w14:paraId="5A5C97DA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9" w:anchor="_I" w:history="1">
              <w:r w:rsidRPr="008C7F59">
                <w:rPr>
                  <w:rStyle w:val="Hyperlink"/>
                  <w:rFonts w:cstheme="minorHAnsi"/>
                </w:rPr>
                <w:t>Factor I</w:t>
              </w:r>
            </w:hyperlink>
          </w:p>
        </w:tc>
        <w:tc>
          <w:tcPr>
            <w:tcW w:w="1000" w:type="pct"/>
            <w:shd w:val="clear" w:color="auto" w:fill="B22222"/>
            <w:vAlign w:val="center"/>
            <w:hideMark/>
          </w:tcPr>
          <w:p w14:paraId="2D3A6A9A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r w:rsidRPr="008C7F59">
              <w:rPr>
                <w:rFonts w:cstheme="minorHAnsi"/>
                <w:color w:val="000000"/>
              </w:rPr>
              <w:t>Factor II</w:t>
            </w:r>
          </w:p>
        </w:tc>
        <w:tc>
          <w:tcPr>
            <w:tcW w:w="1000" w:type="pct"/>
            <w:vAlign w:val="center"/>
            <w:hideMark/>
          </w:tcPr>
          <w:p w14:paraId="351858B5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0" w:anchor="_III" w:history="1">
              <w:r w:rsidRPr="008C7F59">
                <w:rPr>
                  <w:rStyle w:val="Hyperlink"/>
                  <w:rFonts w:cstheme="minorHAnsi"/>
                </w:rPr>
                <w:t>Factor III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020FEB87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1" w:anchor="_IV" w:history="1">
              <w:r w:rsidRPr="008C7F59">
                <w:rPr>
                  <w:rStyle w:val="Hyperlink"/>
                  <w:rFonts w:cstheme="minorHAnsi"/>
                </w:rPr>
                <w:t>Factor IV</w:t>
              </w:r>
            </w:hyperlink>
          </w:p>
        </w:tc>
        <w:tc>
          <w:tcPr>
            <w:tcW w:w="1000" w:type="pct"/>
            <w:vAlign w:val="center"/>
            <w:hideMark/>
          </w:tcPr>
          <w:p w14:paraId="37CB505E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2" w:anchor="_V" w:history="1">
              <w:r w:rsidRPr="008C7F59">
                <w:rPr>
                  <w:rStyle w:val="Hyperlink"/>
                  <w:rFonts w:cstheme="minorHAnsi"/>
                </w:rPr>
                <w:t>Factor V</w:t>
              </w:r>
            </w:hyperlink>
          </w:p>
        </w:tc>
      </w:tr>
      <w:tr w:rsidR="00FF3773" w:rsidRPr="008C7F59" w14:paraId="631B0733" w14:textId="77777777" w:rsidTr="00D91ADD">
        <w:trPr>
          <w:tblCellSpacing w:w="0" w:type="dxa"/>
        </w:trPr>
        <w:tc>
          <w:tcPr>
            <w:tcW w:w="0" w:type="auto"/>
            <w:gridSpan w:val="5"/>
            <w:tcBorders>
              <w:top w:val="single" w:sz="12" w:space="0" w:color="B22222"/>
              <w:left w:val="single" w:sz="12" w:space="0" w:color="B22222"/>
              <w:bottom w:val="single" w:sz="12" w:space="0" w:color="B22222"/>
              <w:right w:val="single" w:sz="12" w:space="0" w:color="B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E6A27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Factor II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is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labeled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Emotional Stability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Factor II is often referred to by other names, such as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Neruoticism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or Negative Emotionality (in these two cases interpretations are inverted, as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Neruoticism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Negative Emotionality can be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though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as the opposite of Emotional Stability).</w:t>
            </w:r>
          </w:p>
        </w:tc>
      </w:tr>
      <w:tr w:rsidR="00FF3773" w:rsidRPr="008C7F59" w14:paraId="6ADAB3DB" w14:textId="77777777" w:rsidTr="00D91ADD">
        <w:trPr>
          <w:tblCellSpacing w:w="0" w:type="dxa"/>
        </w:trPr>
        <w:tc>
          <w:tcPr>
            <w:tcW w:w="1000" w:type="pct"/>
            <w:vAlign w:val="center"/>
            <w:hideMark/>
          </w:tcPr>
          <w:p w14:paraId="1EF00FBD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3" w:anchor="_I" w:history="1">
              <w:r w:rsidRPr="008C7F59">
                <w:rPr>
                  <w:rStyle w:val="Hyperlink"/>
                  <w:rFonts w:cstheme="minorHAnsi"/>
                </w:rPr>
                <w:t>Factor 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7A9881D3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4" w:anchor="_II" w:history="1">
              <w:r w:rsidRPr="008C7F59">
                <w:rPr>
                  <w:rStyle w:val="Hyperlink"/>
                  <w:rFonts w:cstheme="minorHAnsi"/>
                </w:rPr>
                <w:t>Factor II</w:t>
              </w:r>
            </w:hyperlink>
          </w:p>
        </w:tc>
        <w:tc>
          <w:tcPr>
            <w:tcW w:w="1000" w:type="pct"/>
            <w:shd w:val="clear" w:color="auto" w:fill="CD853F"/>
            <w:vAlign w:val="center"/>
            <w:hideMark/>
          </w:tcPr>
          <w:p w14:paraId="47B97662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r w:rsidRPr="008C7F59">
              <w:rPr>
                <w:rFonts w:cstheme="minorHAnsi"/>
                <w:color w:val="000000"/>
              </w:rPr>
              <w:t>Factor III</w:t>
            </w:r>
          </w:p>
        </w:tc>
        <w:tc>
          <w:tcPr>
            <w:tcW w:w="1000" w:type="pct"/>
            <w:vAlign w:val="center"/>
            <w:hideMark/>
          </w:tcPr>
          <w:p w14:paraId="30FF7BD3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5" w:anchor="_IV" w:history="1">
              <w:r w:rsidRPr="008C7F59">
                <w:rPr>
                  <w:rStyle w:val="Hyperlink"/>
                  <w:rFonts w:cstheme="minorHAnsi"/>
                </w:rPr>
                <w:t>Factor IV</w:t>
              </w:r>
            </w:hyperlink>
          </w:p>
        </w:tc>
        <w:tc>
          <w:tcPr>
            <w:tcW w:w="1000" w:type="pct"/>
            <w:vAlign w:val="center"/>
            <w:hideMark/>
          </w:tcPr>
          <w:p w14:paraId="543E088C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6" w:anchor="_V" w:history="1">
              <w:r w:rsidRPr="008C7F59">
                <w:rPr>
                  <w:rStyle w:val="Hyperlink"/>
                  <w:rFonts w:cstheme="minorHAnsi"/>
                </w:rPr>
                <w:t>Factor V</w:t>
              </w:r>
            </w:hyperlink>
          </w:p>
        </w:tc>
      </w:tr>
      <w:tr w:rsidR="00FF3773" w:rsidRPr="008C7F59" w14:paraId="2CFB0D52" w14:textId="77777777" w:rsidTr="00D91ADD">
        <w:trPr>
          <w:tblCellSpacing w:w="0" w:type="dxa"/>
        </w:trPr>
        <w:tc>
          <w:tcPr>
            <w:tcW w:w="0" w:type="auto"/>
            <w:gridSpan w:val="5"/>
            <w:tcBorders>
              <w:top w:val="single" w:sz="12" w:space="0" w:color="CD853F"/>
              <w:left w:val="single" w:sz="12" w:space="0" w:color="CD853F"/>
              <w:bottom w:val="single" w:sz="12" w:space="0" w:color="CD853F"/>
              <w:right w:val="single" w:sz="12" w:space="0" w:color="CD853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2BFF5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Factor III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is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labeled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Agreeableness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A person high in agreeableness is friendly and optimistic. Low scorers are critical and aggressive.</w:t>
            </w:r>
          </w:p>
        </w:tc>
      </w:tr>
      <w:tr w:rsidR="00FF3773" w:rsidRPr="008C7F59" w14:paraId="3D3B8CDB" w14:textId="77777777" w:rsidTr="00D91ADD">
        <w:trPr>
          <w:tblCellSpacing w:w="0" w:type="dxa"/>
        </w:trPr>
        <w:tc>
          <w:tcPr>
            <w:tcW w:w="1000" w:type="pct"/>
            <w:vAlign w:val="center"/>
            <w:hideMark/>
          </w:tcPr>
          <w:p w14:paraId="363ACB2C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7" w:anchor="_I" w:history="1">
              <w:r w:rsidRPr="008C7F59">
                <w:rPr>
                  <w:rStyle w:val="Hyperlink"/>
                  <w:rFonts w:cstheme="minorHAnsi"/>
                </w:rPr>
                <w:t>Factor 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08911C4C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8" w:anchor="_II" w:history="1">
              <w:r w:rsidRPr="008C7F59">
                <w:rPr>
                  <w:rStyle w:val="Hyperlink"/>
                  <w:rFonts w:cstheme="minorHAnsi"/>
                </w:rPr>
                <w:t>Factor 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41F743C2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19" w:anchor="_III" w:history="1">
              <w:r w:rsidRPr="008C7F59">
                <w:rPr>
                  <w:rStyle w:val="Hyperlink"/>
                  <w:rFonts w:cstheme="minorHAnsi"/>
                </w:rPr>
                <w:t>Factor III</w:t>
              </w:r>
            </w:hyperlink>
          </w:p>
        </w:tc>
        <w:tc>
          <w:tcPr>
            <w:tcW w:w="1000" w:type="pct"/>
            <w:shd w:val="clear" w:color="auto" w:fill="6A5ACD"/>
            <w:vAlign w:val="center"/>
            <w:hideMark/>
          </w:tcPr>
          <w:p w14:paraId="45EF5380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r w:rsidRPr="008C7F59">
              <w:rPr>
                <w:rFonts w:cstheme="minorHAnsi"/>
                <w:color w:val="000000"/>
              </w:rPr>
              <w:t>Factor IV</w:t>
            </w:r>
          </w:p>
        </w:tc>
        <w:tc>
          <w:tcPr>
            <w:tcW w:w="1000" w:type="pct"/>
            <w:vAlign w:val="center"/>
            <w:hideMark/>
          </w:tcPr>
          <w:p w14:paraId="0963302B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20" w:anchor="_V" w:history="1">
              <w:r w:rsidRPr="008C7F59">
                <w:rPr>
                  <w:rStyle w:val="Hyperlink"/>
                  <w:rFonts w:cstheme="minorHAnsi"/>
                </w:rPr>
                <w:t>Factor V</w:t>
              </w:r>
            </w:hyperlink>
          </w:p>
        </w:tc>
      </w:tr>
      <w:tr w:rsidR="00FF3773" w:rsidRPr="008C7F59" w14:paraId="3F159288" w14:textId="77777777" w:rsidTr="00D91ADD">
        <w:trPr>
          <w:tblCellSpacing w:w="0" w:type="dxa"/>
        </w:trPr>
        <w:tc>
          <w:tcPr>
            <w:tcW w:w="0" w:type="auto"/>
            <w:gridSpan w:val="5"/>
            <w:tcBorders>
              <w:top w:val="single" w:sz="12" w:space="0" w:color="6A5ACD"/>
              <w:left w:val="single" w:sz="12" w:space="0" w:color="6A5ACD"/>
              <w:bottom w:val="single" w:sz="12" w:space="0" w:color="6A5ACD"/>
              <w:right w:val="single" w:sz="12" w:space="0" w:color="6A5AC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77FFB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Factor IV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is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labeled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Conscientiousness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Individuals who score high on this factor are careful and diligent. Low scorers are impulsive and disorganized.</w:t>
            </w:r>
          </w:p>
        </w:tc>
      </w:tr>
      <w:tr w:rsidR="00FF3773" w:rsidRPr="008C7F59" w14:paraId="1B16E363" w14:textId="77777777" w:rsidTr="00D91ADD">
        <w:trPr>
          <w:tblCellSpacing w:w="0" w:type="dxa"/>
        </w:trPr>
        <w:tc>
          <w:tcPr>
            <w:tcW w:w="1000" w:type="pct"/>
            <w:vAlign w:val="center"/>
            <w:hideMark/>
          </w:tcPr>
          <w:p w14:paraId="39A336C9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21" w:anchor="_V" w:history="1">
              <w:r w:rsidRPr="008C7F59">
                <w:rPr>
                  <w:rStyle w:val="Hyperlink"/>
                  <w:rFonts w:cstheme="minorHAnsi"/>
                </w:rPr>
                <w:t>Factor 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45798C85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22" w:anchor="_V" w:history="1">
              <w:r w:rsidRPr="008C7F59">
                <w:rPr>
                  <w:rStyle w:val="Hyperlink"/>
                  <w:rFonts w:cstheme="minorHAnsi"/>
                </w:rPr>
                <w:t>Factor 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63109970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23" w:anchor="_V" w:history="1">
              <w:r w:rsidRPr="008C7F59">
                <w:rPr>
                  <w:rStyle w:val="Hyperlink"/>
                  <w:rFonts w:cstheme="minorHAnsi"/>
                </w:rPr>
                <w:t>Factor III</w:t>
              </w:r>
            </w:hyperlink>
          </w:p>
        </w:tc>
        <w:tc>
          <w:tcPr>
            <w:tcW w:w="1000" w:type="pct"/>
            <w:vAlign w:val="center"/>
            <w:hideMark/>
          </w:tcPr>
          <w:p w14:paraId="0EDB56B3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hyperlink r:id="rId24" w:anchor="_V" w:history="1">
              <w:r w:rsidRPr="008C7F59">
                <w:rPr>
                  <w:rStyle w:val="Hyperlink"/>
                  <w:rFonts w:cstheme="minorHAnsi"/>
                </w:rPr>
                <w:t>Factor IV</w:t>
              </w:r>
            </w:hyperlink>
          </w:p>
        </w:tc>
        <w:tc>
          <w:tcPr>
            <w:tcW w:w="1000" w:type="pct"/>
            <w:shd w:val="clear" w:color="auto" w:fill="ADFF2F"/>
            <w:vAlign w:val="center"/>
            <w:hideMark/>
          </w:tcPr>
          <w:p w14:paraId="0F99D1EB" w14:textId="77777777" w:rsidR="00FF3773" w:rsidRPr="008C7F59" w:rsidRDefault="00FF3773" w:rsidP="00D91ADD">
            <w:pPr>
              <w:jc w:val="center"/>
              <w:rPr>
                <w:rFonts w:cstheme="minorHAnsi"/>
                <w:color w:val="000000"/>
              </w:rPr>
            </w:pPr>
            <w:r w:rsidRPr="008C7F59">
              <w:rPr>
                <w:rFonts w:cstheme="minorHAnsi"/>
                <w:color w:val="000000"/>
              </w:rPr>
              <w:t>Factor V</w:t>
            </w:r>
          </w:p>
        </w:tc>
      </w:tr>
      <w:tr w:rsidR="00FF3773" w:rsidRPr="008C7F59" w14:paraId="46043A10" w14:textId="77777777" w:rsidTr="00D91ADD">
        <w:trPr>
          <w:tblCellSpacing w:w="0" w:type="dxa"/>
        </w:trPr>
        <w:tc>
          <w:tcPr>
            <w:tcW w:w="0" w:type="auto"/>
            <w:gridSpan w:val="5"/>
            <w:tcBorders>
              <w:top w:val="single" w:sz="12" w:space="0" w:color="ADFF2F"/>
              <w:left w:val="single" w:sz="12" w:space="0" w:color="ADFF2F"/>
              <w:bottom w:val="single" w:sz="12" w:space="0" w:color="ADFF2F"/>
              <w:right w:val="single" w:sz="12" w:space="0" w:color="ADFF2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E1D96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Factor V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is </w:t>
            </w:r>
            <w:proofErr w:type="spellStart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labeled</w:t>
            </w:r>
            <w:proofErr w:type="spellEnd"/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Intellect/Imagination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This factor is also often called </w:t>
            </w:r>
            <w:r w:rsidRPr="008C7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Openness to Experience</w:t>
            </w: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661EE6B" w14:textId="77777777" w:rsidR="00FF3773" w:rsidRPr="008C7F59" w:rsidRDefault="00FF3773" w:rsidP="00D91ADD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7F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People who score low tend to be traditional and conventional.</w:t>
            </w:r>
          </w:p>
        </w:tc>
      </w:tr>
    </w:tbl>
    <w:p w14:paraId="533E46A4" w14:textId="77777777" w:rsidR="00FF3773" w:rsidRDefault="00FF3773"/>
    <w:sectPr w:rsidR="00FF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73"/>
    <w:rsid w:val="0054350A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0411"/>
  <w15:chartTrackingRefBased/>
  <w15:docId w15:val="{79F03EA6-5755-4594-B0DC-DD3FE1CB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FF3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psychometrics.org/tests/IPIP-BFFM/results.php?r=3.5,2.6,4.9,4.67,4.9" TargetMode="External"/><Relationship Id="rId13" Type="http://schemas.openxmlformats.org/officeDocument/2006/relationships/hyperlink" Target="https://openpsychometrics.org/tests/IPIP-BFFM/results.php?r=3.5,2.6,4.9,4.67,4.9" TargetMode="External"/><Relationship Id="rId18" Type="http://schemas.openxmlformats.org/officeDocument/2006/relationships/hyperlink" Target="https://openpsychometrics.org/tests/IPIP-BFFM/results.php?r=3.5,2.6,4.9,4.67,4.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openpsychometrics.org/tests/IPIP-BFFM/results.php?r=3.5,2.6,4.9,4.67,4.9" TargetMode="External"/><Relationship Id="rId7" Type="http://schemas.openxmlformats.org/officeDocument/2006/relationships/hyperlink" Target="https://openpsychometrics.org/tests/IPIP-BFFM/results.php?r=3.5,2.6,4.9,4.67,4.9" TargetMode="External"/><Relationship Id="rId12" Type="http://schemas.openxmlformats.org/officeDocument/2006/relationships/hyperlink" Target="https://openpsychometrics.org/tests/IPIP-BFFM/results.php?r=3.5,2.6,4.9,4.67,4.9" TargetMode="External"/><Relationship Id="rId17" Type="http://schemas.openxmlformats.org/officeDocument/2006/relationships/hyperlink" Target="https://openpsychometrics.org/tests/IPIP-BFFM/results.php?r=3.5,2.6,4.9,4.67,4.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penpsychometrics.org/tests/IPIP-BFFM/results.php?r=3.5,2.6,4.9,4.67,4.9" TargetMode="External"/><Relationship Id="rId20" Type="http://schemas.openxmlformats.org/officeDocument/2006/relationships/hyperlink" Target="https://openpsychometrics.org/tests/IPIP-BFFM/results.php?r=3.5,2.6,4.9,4.67,4.9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psychometrics.org/tests/IPIP-BFFM/results.php?r=3.5,2.6,4.9,4.67,4.9" TargetMode="External"/><Relationship Id="rId11" Type="http://schemas.openxmlformats.org/officeDocument/2006/relationships/hyperlink" Target="https://openpsychometrics.org/tests/IPIP-BFFM/results.php?r=3.5,2.6,4.9,4.67,4.9" TargetMode="External"/><Relationship Id="rId24" Type="http://schemas.openxmlformats.org/officeDocument/2006/relationships/hyperlink" Target="https://openpsychometrics.org/tests/IPIP-BFFM/results.php?r=3.5,2.6,4.9,4.67,4.9" TargetMode="External"/><Relationship Id="rId5" Type="http://schemas.openxmlformats.org/officeDocument/2006/relationships/hyperlink" Target="https://openpsychometrics.org/tests/IPIP-BFFM/results.php?r=3.5,2.6,4.9,4.67,4.9" TargetMode="External"/><Relationship Id="rId15" Type="http://schemas.openxmlformats.org/officeDocument/2006/relationships/hyperlink" Target="https://openpsychometrics.org/tests/IPIP-BFFM/results.php?r=3.5,2.6,4.9,4.67,4.9" TargetMode="External"/><Relationship Id="rId23" Type="http://schemas.openxmlformats.org/officeDocument/2006/relationships/hyperlink" Target="https://openpsychometrics.org/tests/IPIP-BFFM/results.php?r=3.5,2.6,4.9,4.67,4.9" TargetMode="External"/><Relationship Id="rId10" Type="http://schemas.openxmlformats.org/officeDocument/2006/relationships/hyperlink" Target="https://openpsychometrics.org/tests/IPIP-BFFM/results.php?r=3.5,2.6,4.9,4.67,4.9" TargetMode="External"/><Relationship Id="rId19" Type="http://schemas.openxmlformats.org/officeDocument/2006/relationships/hyperlink" Target="https://openpsychometrics.org/tests/IPIP-BFFM/results.php?r=3.5,2.6,4.9,4.67,4.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psychometrics.org/tests/IPIP-BFFM/results.php?r=3.5,2.6,4.9,4.67,4.9" TargetMode="External"/><Relationship Id="rId14" Type="http://schemas.openxmlformats.org/officeDocument/2006/relationships/hyperlink" Target="https://openpsychometrics.org/tests/IPIP-BFFM/results.php?r=3.5,2.6,4.9,4.67,4.9" TargetMode="External"/><Relationship Id="rId22" Type="http://schemas.openxmlformats.org/officeDocument/2006/relationships/hyperlink" Target="https://openpsychometrics.org/tests/IPIP-BFFM/results.php?r=3.5,2.6,4.9,4.67,4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Leaver</dc:creator>
  <cp:keywords/>
  <dc:description/>
  <cp:lastModifiedBy>Imogen Leaver</cp:lastModifiedBy>
  <cp:revision>2</cp:revision>
  <dcterms:created xsi:type="dcterms:W3CDTF">2020-09-18T01:56:00Z</dcterms:created>
  <dcterms:modified xsi:type="dcterms:W3CDTF">2020-09-18T01:57:00Z</dcterms:modified>
</cp:coreProperties>
</file>