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B2532"/>
          <w:sz w:val="52"/>
          <w:szCs w:val="52"/>
        </w:rPr>
        <w:t xml:space="preserve">TELECOM NETWORK OUTAGE</w:t>
      </w:r>
    </w:p>
    <w:p>
      <w:pPr>
        <w:spacing w:after="200"/>
        <w:jc w:val="center"/>
      </w:pPr>
      <w:r>
        <w:rPr>
          <w:b/>
          <w:bCs/>
          <w:color w:val="1B2532"/>
          <w:sz w:val="52"/>
          <w:szCs w:val="52"/>
        </w:rPr>
        <w:t xml:space="preserve">&amp; RELIABILITY ANALYTICS</w:t>
      </w:r>
    </w:p>
    <w:p>
      <w:pPr>
        <w:spacing w:after="600"/>
        <w:jc w:val="center"/>
      </w:pPr>
      <w:r>
        <w:rPr>
          <w:i/>
          <w:iCs/>
          <w:color w:val="B9762F"/>
          <w:sz w:val="26"/>
          <w:szCs w:val="26"/>
        </w:rPr>
        <w:t xml:space="preserve">Root Cause Analysis and Predictive Risk Modeling</w:t>
      </w:r>
    </w:p>
    <w:p>
      <w:pPr>
        <w:spacing w:after="80"/>
        <w:jc w:val="center"/>
      </w:pPr>
      <w:r>
        <w:rPr>
          <w:color w:val="5E6C7C"/>
          <w:sz w:val="20"/>
          <w:szCs w:val="20"/>
        </w:rPr>
        <w:t xml:space="preserve">A Full-Lifecycle Analytics Engagement</w:t>
      </w:r>
    </w:p>
    <w:p>
      <w:pPr>
        <w:spacing w:after="40"/>
        <w:jc w:val="center"/>
      </w:pPr>
      <w:r>
        <w:t>PostgreSQL  →  Python (pandas / scikit-learn)  →  Reproducible Portfolio Outputs</w:t>
      </w:r>
    </w:p>
    <w:p>
      <w:pPr>
        <w:spacing w:before="800"/>
        <w:jc w:val="center"/>
      </w:pPr>
      <w:r>
        <w:rPr>
          <w:color w:val="5E6C7C"/>
          <w:sz w:val="18"/>
          <w:szCs w:val="18"/>
        </w:rPr>
        <w:t xml:space="preserve">100,000 observations · 70,599 towers · 2025-09-01 to 2025-10-01</w:t>
      </w:r>
    </w:p>
    <w:p>
      <w:pPr>
        <w:spacing w:before="60"/>
        <w:jc w:val="center"/>
      </w:pPr>
      <w:r>
        <w:rPr>
          <w:i/>
          <w:iCs/>
          <w:color w:val="5E6C7C"/>
          <w:sz w:val="16"/>
          <w:szCs w:val="16"/>
        </w:rPr>
        <w:t xml:space="preserve">Synthetic dataset, prepared for portfolio / analytics-engagement documentation</w:t>
      </w:r>
    </w:p>
    <w:p>
      <w:r>
        <w:br w:type="page"/>
      </w:r>
    </w:p>
    <w:p>
      <w:pPr>
        <w:pStyle w:val="Heading1"/>
        <w:spacing w:after="200" w:before="400"/>
      </w:pPr>
      <w:r>
        <w:t xml:space="preserve">Table of Contents</w:t>
      </w:r>
    </w:p>
    <w:p>
      <w:pPr>
        <w:tabs>
          <w:tab w:val="right" w:pos="9350" w:leader="dot"/>
        </w:tabs>
        <w:spacing w:after="90"/>
      </w:pPr>
      <w:r>
        <w:rPr>
          <w:sz w:val="22"/>
          <w:szCs w:val="22"/>
        </w:rPr>
        <w:t xml:space="preserve">1. Executive Summary</w:t>
      </w:r>
      <w:r>
        <w:rPr>
          <w:sz w:val="22"/>
          <w:szCs w:val="22"/>
        </w:rPr>
        <w:t xml:space="preserve">	3</w:t>
      </w:r>
    </w:p>
    <w:p>
      <w:pPr>
        <w:tabs>
          <w:tab w:val="right" w:pos="9350" w:leader="dot"/>
        </w:tabs>
        <w:spacing w:after="90"/>
      </w:pPr>
      <w:r>
        <w:rPr>
          <w:sz w:val="22"/>
          <w:szCs w:val="22"/>
        </w:rPr>
        <w:t xml:space="preserve">2. Project Overview &amp; Business Understanding</w:t>
      </w:r>
      <w:r>
        <w:rPr>
          <w:sz w:val="22"/>
          <w:szCs w:val="22"/>
        </w:rPr>
        <w:t xml:space="preserve">	3</w:t>
      </w:r>
    </w:p>
    <w:p>
      <w:pPr>
        <w:tabs>
          <w:tab w:val="right" w:pos="9350" w:leader="dot"/>
        </w:tabs>
        <w:spacing w:after="90"/>
      </w:pPr>
      <w:r>
        <w:rPr>
          <w:sz w:val="22"/>
          <w:szCs w:val="22"/>
        </w:rPr>
        <w:t xml:space="preserve">3. Data Quality, Cleaning &amp; Feature Engineering</w:t>
      </w:r>
      <w:r>
        <w:rPr>
          <w:sz w:val="22"/>
          <w:szCs w:val="22"/>
        </w:rPr>
        <w:t xml:space="preserve">	4</w:t>
      </w:r>
    </w:p>
    <w:p>
      <w:pPr>
        <w:tabs>
          <w:tab w:val="right" w:pos="9350" w:leader="dot"/>
        </w:tabs>
        <w:spacing w:after="90"/>
      </w:pPr>
      <w:r>
        <w:rPr>
          <w:sz w:val="22"/>
          <w:szCs w:val="22"/>
        </w:rPr>
        <w:t xml:space="preserve">4. KPI Dictionary</w:t>
      </w:r>
      <w:r>
        <w:rPr>
          <w:sz w:val="22"/>
          <w:szCs w:val="22"/>
        </w:rPr>
        <w:t xml:space="preserve">	5</w:t>
      </w:r>
    </w:p>
    <w:p>
      <w:pPr>
        <w:tabs>
          <w:tab w:val="right" w:pos="9350" w:leader="dot"/>
        </w:tabs>
        <w:spacing w:after="90"/>
      </w:pPr>
      <w:r>
        <w:rPr>
          <w:sz w:val="22"/>
          <w:szCs w:val="22"/>
        </w:rPr>
        <w:t xml:space="preserve">5. Diagnostic Analysis Findings</w:t>
      </w:r>
      <w:r>
        <w:rPr>
          <w:sz w:val="22"/>
          <w:szCs w:val="22"/>
        </w:rPr>
        <w:t xml:space="preserve">	6</w:t>
      </w:r>
    </w:p>
    <w:p>
      <w:pPr>
        <w:tabs>
          <w:tab w:val="right" w:pos="9350" w:leader="dot"/>
        </w:tabs>
        <w:spacing w:after="90"/>
      </w:pPr>
      <w:r>
        <w:rPr>
          <w:sz w:val="22"/>
          <w:szCs w:val="22"/>
        </w:rPr>
        <w:t xml:space="preserve">6. Predictive Modeling &amp; Risk Scoring</w:t>
      </w:r>
      <w:r>
        <w:rPr>
          <w:sz w:val="22"/>
          <w:szCs w:val="22"/>
        </w:rPr>
        <w:t xml:space="preserve">	7</w:t>
      </w:r>
    </w:p>
    <w:p>
      <w:pPr>
        <w:tabs>
          <w:tab w:val="right" w:pos="9350" w:leader="dot"/>
        </w:tabs>
        <w:spacing w:after="90"/>
      </w:pPr>
      <w:r>
        <w:rPr>
          <w:sz w:val="22"/>
          <w:szCs w:val="22"/>
        </w:rPr>
        <w:t xml:space="preserve">7. Business Answers &amp; Recommendations</w:t>
      </w:r>
      <w:r>
        <w:rPr>
          <w:sz w:val="22"/>
          <w:szCs w:val="22"/>
        </w:rPr>
        <w:t xml:space="preserve">	8</w:t>
      </w:r>
    </w:p>
    <w:p>
      <w:pPr>
        <w:tabs>
          <w:tab w:val="right" w:pos="9350" w:leader="dot"/>
        </w:tabs>
        <w:spacing w:after="90"/>
      </w:pPr>
      <w:r>
        <w:rPr>
          <w:sz w:val="22"/>
          <w:szCs w:val="22"/>
        </w:rPr>
        <w:t xml:space="preserve">8. Reconciliation &amp; Limitations</w:t>
      </w:r>
      <w:r>
        <w:rPr>
          <w:sz w:val="22"/>
          <w:szCs w:val="22"/>
        </w:rPr>
        <w:t xml:space="preserve">	9</w:t>
      </w:r>
    </w:p>
    <w:p>
      <w:pPr>
        <w:tabs>
          <w:tab w:val="right" w:pos="9350" w:leader="dot"/>
        </w:tabs>
        <w:spacing w:after="90"/>
      </w:pPr>
      <w:r>
        <w:rPr>
          <w:sz w:val="22"/>
          <w:szCs w:val="22"/>
        </w:rPr>
        <w:t xml:space="preserve">9. Project File Inventory</w:t>
      </w:r>
      <w:r>
        <w:rPr>
          <w:sz w:val="22"/>
          <w:szCs w:val="22"/>
        </w:rPr>
        <w:t xml:space="preserve">	10</w:t>
      </w:r>
    </w:p>
    <w:p>
      <w:r>
        <w:br w:type="page"/>
      </w:r>
    </w:p>
    <w:p>
      <w:pPr>
        <w:pStyle w:val="Heading1"/>
        <w:spacing w:after="200" w:before="400"/>
      </w:pPr>
      <w:r>
        <w:t xml:space="preserve">1. Executive Summary</w:t>
      </w:r>
    </w:p>
    <w:p>
      <w:pPr>
        <w:spacing w:after="160"/>
      </w:pPr>
      <w:r>
        <w:t>This engagement ran the complete analytics lifecycle — data quality audit, cleaning, feature engineering, SQL-based diagnostic analysis, Python statistical validation, leakage-safe predictive modeling, risk scoring, watchlist generation, and reproducible visual outputs — on 100,000 base station uptime observations covering 70,599 towers over a 31-day window (2025-09-01 to 2025-10-01).</w:t>
      </w:r>
    </w:p>
    <w:tbl>
      <w:tblPr>
        <w:tblW w:type="pct" w:w="100%"/>
        <w:tblBorders>
          <w:top w:val="single" w:color="2F7A79" w:sz="4"/>
          <w:left w:val="single" w:color="2F7A79" w:sz="24"/>
          <w:bottom w:val="single" w:color="2F7A79" w:sz="4"/>
          <w:right w:val="single" w:color="2F7A79"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b/>
                <w:bCs/>
                <w:color w:val="2F7A79"/>
                <w:sz w:val="21"/>
                <w:szCs w:val="21"/>
              </w:rPr>
              <w:t xml:space="preserve">Central Finding</w:t>
            </w:r>
          </w:p>
          <w:p>
            <w:r>
              <w:rPr>
                <w:sz w:val="21"/>
                <w:szCs w:val="21"/>
              </w:rPr>
              <w:t xml:space="preserve">Across nearly every phase, this dataset shows little to no statistically meaningful differentiation across the categorical and temporal dimensions it provides — operator, state, city, network technology, and time (day/week/month) all tested within the data's natural noise. Where real, defensible signal exists, it is at the individual tower level: repeat-outage towers and towers sitting at the dataset's hard reliability floor. Every predictive model built also validated at chance-level performance (ROC-AUC ≈ 0.49) — a genuine, verified finding about this dataset, not a modeling shortfall.</w:t>
            </w:r>
          </w:p>
        </w:tc>
      </w:tr>
    </w:tbl>
    <w:p>
      <w:pPr>
        <w:spacing w:after="120"/>
      </w:pPr>
      <w:r>
        <w:t xml:space="preserve"/>
      </w:r>
    </w:p>
    <w:p>
      <w:pPr>
        <w:spacing w:after="160"/>
      </w:pPr>
      <w:r>
        <w:t>This document consolidates the full engagement into a single reference: business framing, data quality findings, KPIs, diagnostic analysis, predictive modeling results, business answers, recommendations, reconciliation, and limitations. It accompanies the SQL pipeline, Python pipeline, source dataset, feature-engineered dataset, tower summary, risk watchlist, and generated chart set delivered alongside it.</w:t>
      </w:r>
    </w:p>
    <w:p>
      <w:pPr>
        <w:pStyle w:val="Heading1"/>
        <w:spacing w:after="200" w:before="400"/>
      </w:pPr>
      <w:r>
        <w:t xml:space="preserve">2. Project Overview &amp; Business Understanding</w:t>
      </w:r>
    </w:p>
    <w:p>
      <w:pPr>
        <w:pStyle w:val="Heading2"/>
        <w:spacing w:after="150" w:before="300"/>
      </w:pPr>
      <w:r>
        <w:t xml:space="preserve">2.1 Business Problem</w:t>
      </w:r>
    </w:p>
    <w:p>
      <w:pPr>
        <w:spacing w:after="160"/>
      </w:pPr>
      <w:r>
        <w:rPr>
          <w:sz w:val="22"/>
          <w:szCs w:val="22"/>
        </w:rPr>
        <w:t xml:space="preserve">A telecom operator needs to understand why network outages occur, where reliability is weakest, and which sites are most likely to fail in the future — so maintenance, capital, and monitoring resources can be allocated proactively instead of reactively.</w:t>
      </w:r>
    </w:p>
    <w:p>
      <w:pPr>
        <w:pStyle w:val="Heading2"/>
        <w:spacing w:after="150" w:before="300"/>
      </w:pPr>
      <w:r>
        <w:t xml:space="preserve">2.2 Business &amp; Analytics Objectives</w:t>
      </w:r>
    </w:p>
    <w:p>
      <w:pPr>
        <w:pStyle w:val="ListParagraph"/>
        <w:numPr>
          <w:ilvl w:val="0"/>
          <w:numId w:val="2"/>
        </w:numPr>
        <w:spacing w:after="90"/>
      </w:pPr>
      <w:r>
        <w:t xml:space="preserve">Business objective: reduce network downtime and improve service reliability by identifying operational, geographic, and technological drivers of outages, and flagging high-risk sites before they fail.</w:t>
      </w:r>
    </w:p>
    <w:p>
      <w:pPr>
        <w:pStyle w:val="ListParagraph"/>
        <w:numPr>
          <w:ilvl w:val="0"/>
          <w:numId w:val="2"/>
        </w:numPr>
        <w:spacing w:after="90"/>
      </w:pPr>
      <w:r>
        <w:t>Analytics objective: move from descriptive reporting to diagnostic, predictive, and prescriptive analytics, culminating in a reproducible SQL → Python pipeline, validated visual analysis, a rate-based site reliability score, and a high-risk-site watchlist.</w:t>
      </w:r>
    </w:p>
    <w:p>
      <w:pPr>
        <w:pStyle w:val="Heading2"/>
        <w:spacing w:after="150" w:before="300"/>
      </w:pPr>
      <w:r>
        <w:t xml:space="preserve">2.3 Key Business Questions</w:t>
      </w:r>
    </w:p>
    <w:p>
      <w:pPr>
        <w:pStyle w:val="ListParagraph"/>
        <w:numPr>
          <w:ilvl w:val="0"/>
          <w:numId w:val="2"/>
        </w:numPr>
        <w:spacing w:after="90"/>
      </w:pPr>
      <w:r>
        <w:t xml:space="preserve">What factors are most strongly associated with outages?</w:t>
      </w:r>
    </w:p>
    <w:p>
      <w:pPr>
        <w:pStyle w:val="ListParagraph"/>
        <w:numPr>
          <w:ilvl w:val="0"/>
          <w:numId w:val="2"/>
        </w:numPr>
        <w:spacing w:after="90"/>
      </w:pPr>
      <w:r>
        <w:t xml:space="preserve">Which outage causes drive the most downtime and the most users affected?</w:t>
      </w:r>
    </w:p>
    <w:p>
      <w:pPr>
        <w:pStyle w:val="ListParagraph"/>
        <w:numPr>
          <w:ilvl w:val="0"/>
          <w:numId w:val="2"/>
        </w:numPr>
        <w:spacing w:after="90"/>
      </w:pPr>
      <w:r>
        <w:t xml:space="preserve">Which operators have the weakest reliability?</w:t>
      </w:r>
    </w:p>
    <w:p>
      <w:pPr>
        <w:pStyle w:val="ListParagraph"/>
        <w:numPr>
          <w:ilvl w:val="0"/>
          <w:numId w:val="2"/>
        </w:numPr>
        <w:spacing w:after="90"/>
      </w:pPr>
      <w:r>
        <w:t xml:space="preserve">Which states, cities, and towers are most vulnerable?</w:t>
      </w:r>
    </w:p>
    <w:p>
      <w:pPr>
        <w:pStyle w:val="ListParagraph"/>
        <w:numPr>
          <w:ilvl w:val="0"/>
          <w:numId w:val="2"/>
        </w:numPr>
        <w:spacing w:after="90"/>
      </w:pPr>
      <w:r>
        <w:t xml:space="preserve">Which network technologies are least reliable?</w:t>
      </w:r>
    </w:p>
    <w:p>
      <w:pPr>
        <w:pStyle w:val="ListParagraph"/>
        <w:numPr>
          <w:ilvl w:val="0"/>
          <w:numId w:val="2"/>
        </w:numPr>
        <w:spacing w:after="90"/>
      </w:pPr>
      <w:r>
        <w:t xml:space="preserve">What temporal patterns exist?</w:t>
      </w:r>
    </w:p>
    <w:p>
      <w:pPr>
        <w:pStyle w:val="ListParagraph"/>
        <w:numPr>
          <w:ilvl w:val="0"/>
          <w:numId w:val="2"/>
        </w:numPr>
        <w:spacing w:after="90"/>
      </w:pPr>
      <w:r>
        <w:t xml:space="preserve">Which sites are likely to become high-risk, and what should management prioritize?</w:t>
      </w:r>
    </w:p>
    <w:p>
      <w:pPr>
        <w:pStyle w:val="Heading2"/>
        <w:spacing w:after="150" w:before="300"/>
      </w:pPr>
      <w:r>
        <w:t xml:space="preserve">2.4 Dataset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pct" w:w="50%"/>
            <w:shd w:fill="E8E4DC" w:val="clear"/>
            <w:tcMar>
              <w:top w:type="dxa" w:w="80"/>
              <w:left w:type="dxa" w:w="100"/>
              <w:bottom w:type="dxa" w:w="80"/>
              <w:right w:type="dxa" w:w="100"/>
            </w:tcMar>
          </w:tcPr>
          <w:p>
            <w:r>
              <w:rPr>
                <w:b/>
                <w:bCs/>
                <w:sz w:val="19"/>
                <w:szCs w:val="19"/>
              </w:rPr>
              <w:t xml:space="preserve">Item</w:t>
            </w:r>
          </w:p>
        </w:tc>
        <w:tc>
          <w:tcPr>
            <w:tcW w:type="pct" w:w="50%"/>
            <w:shd w:fill="E8E4DC" w:val="clear"/>
            <w:tcMar>
              <w:top w:type="dxa" w:w="80"/>
              <w:left w:type="dxa" w:w="100"/>
              <w:bottom w:type="dxa" w:w="80"/>
              <w:right w:type="dxa" w:w="100"/>
            </w:tcMar>
          </w:tcPr>
          <w:p>
            <w:r>
              <w:rPr>
                <w:b/>
                <w:bCs/>
                <w:sz w:val="19"/>
                <w:szCs w:val="19"/>
              </w:rPr>
              <w:t xml:space="preserve">Value</w:t>
            </w:r>
          </w:p>
        </w:tc>
      </w:tr>
      <w:tr>
        <w:tc>
          <w:tcPr>
            <w:tcW w:type="pct" w:w="50%"/>
            <w:tcMar>
              <w:top w:type="dxa" w:w="80"/>
              <w:left w:type="dxa" w:w="100"/>
              <w:bottom w:type="dxa" w:w="80"/>
              <w:right w:type="dxa" w:w="100"/>
            </w:tcMar>
          </w:tcPr>
          <w:p>
            <w:r>
              <w:rPr>
                <w:b w:val="false"/>
                <w:bCs w:val="false"/>
                <w:sz w:val="19"/>
                <w:szCs w:val="19"/>
              </w:rPr>
              <w:t xml:space="preserve">Rows</w:t>
            </w:r>
          </w:p>
        </w:tc>
        <w:tc>
          <w:tcPr>
            <w:tcW w:type="pct" w:w="50%"/>
            <w:tcMar>
              <w:top w:type="dxa" w:w="80"/>
              <w:left w:type="dxa" w:w="100"/>
              <w:bottom w:type="dxa" w:w="80"/>
              <w:right w:type="dxa" w:w="100"/>
            </w:tcMar>
          </w:tcPr>
          <w:p>
            <w:r>
              <w:rPr>
                <w:b w:val="false"/>
                <w:bCs w:val="false"/>
                <w:sz w:val="19"/>
                <w:szCs w:val="19"/>
              </w:rPr>
              <w:t xml:space="preserve">100,000</w:t>
            </w:r>
          </w:p>
        </w:tc>
      </w:tr>
      <w:tr>
        <w:tc>
          <w:tcPr>
            <w:tcW w:type="pct" w:w="50%"/>
            <w:tcMar>
              <w:top w:type="dxa" w:w="80"/>
              <w:left w:type="dxa" w:w="100"/>
              <w:bottom w:type="dxa" w:w="80"/>
              <w:right w:type="dxa" w:w="100"/>
            </w:tcMar>
          </w:tcPr>
          <w:p>
            <w:r>
              <w:rPr>
                <w:b w:val="false"/>
                <w:bCs w:val="false"/>
                <w:sz w:val="19"/>
                <w:szCs w:val="19"/>
              </w:rPr>
              <w:t xml:space="preserve">Unique towers</w:t>
            </w:r>
          </w:p>
        </w:tc>
        <w:tc>
          <w:tcPr>
            <w:tcW w:type="pct" w:w="50%"/>
            <w:tcMar>
              <w:top w:type="dxa" w:w="80"/>
              <w:left w:type="dxa" w:w="100"/>
              <w:bottom w:type="dxa" w:w="80"/>
              <w:right w:type="dxa" w:w="100"/>
            </w:tcMar>
          </w:tcPr>
          <w:p>
            <w:r>
              <w:rPr>
                <w:b w:val="false"/>
                <w:bCs w:val="false"/>
                <w:sz w:val="19"/>
                <w:szCs w:val="19"/>
              </w:rPr>
              <w:t xml:space="preserve">70,599</w:t>
            </w:r>
          </w:p>
        </w:tc>
      </w:tr>
      <w:tr>
        <w:tc>
          <w:tcPr>
            <w:tcW w:type="pct" w:w="50%"/>
            <w:tcMar>
              <w:top w:type="dxa" w:w="80"/>
              <w:left w:type="dxa" w:w="100"/>
              <w:bottom w:type="dxa" w:w="80"/>
              <w:right w:type="dxa" w:w="100"/>
            </w:tcMar>
          </w:tcPr>
          <w:p>
            <w:r>
              <w:rPr>
                <w:b w:val="false"/>
                <w:bCs w:val="false"/>
                <w:sz w:val="19"/>
                <w:szCs w:val="19"/>
              </w:rPr>
              <w:t xml:space="preserve">Date range</w:t>
            </w:r>
          </w:p>
        </w:tc>
        <w:tc>
          <w:tcPr>
            <w:tcW w:type="pct" w:w="50%"/>
            <w:tcMar>
              <w:top w:type="dxa" w:w="80"/>
              <w:left w:type="dxa" w:w="100"/>
              <w:bottom w:type="dxa" w:w="80"/>
              <w:right w:type="dxa" w:w="100"/>
            </w:tcMar>
          </w:tcPr>
          <w:p>
            <w:r>
              <w:rPr>
                <w:b w:val="false"/>
                <w:bCs w:val="false"/>
                <w:sz w:val="19"/>
                <w:szCs w:val="19"/>
              </w:rPr>
              <w:t xml:space="preserve">2025-09-01 to 2025-10-01 (31 days)</w:t>
            </w:r>
          </w:p>
        </w:tc>
      </w:tr>
      <w:tr>
        <w:tc>
          <w:tcPr>
            <w:tcW w:type="pct" w:w="50%"/>
            <w:tcMar>
              <w:top w:type="dxa" w:w="80"/>
              <w:left w:type="dxa" w:w="100"/>
              <w:bottom w:type="dxa" w:w="80"/>
              <w:right w:type="dxa" w:w="100"/>
            </w:tcMar>
          </w:tcPr>
          <w:p>
            <w:r>
              <w:rPr>
                <w:b w:val="false"/>
                <w:bCs w:val="false"/>
                <w:sz w:val="19"/>
                <w:szCs w:val="19"/>
              </w:rPr>
              <w:t xml:space="preserve">Operators</w:t>
            </w:r>
          </w:p>
        </w:tc>
        <w:tc>
          <w:tcPr>
            <w:tcW w:type="pct" w:w="50%"/>
            <w:tcMar>
              <w:top w:type="dxa" w:w="80"/>
              <w:left w:type="dxa" w:w="100"/>
              <w:bottom w:type="dxa" w:w="80"/>
              <w:right w:type="dxa" w:w="100"/>
            </w:tcMar>
          </w:tcPr>
          <w:p>
            <w:r>
              <w:rPr>
                <w:b w:val="false"/>
                <w:bCs w:val="false"/>
                <w:sz w:val="19"/>
                <w:szCs w:val="19"/>
              </w:rPr>
              <w:t xml:space="preserve">9mobile, Airtel, Glo, MTN</w:t>
            </w:r>
          </w:p>
        </w:tc>
      </w:tr>
      <w:tr>
        <w:tc>
          <w:tcPr>
            <w:tcW w:type="pct" w:w="50%"/>
            <w:tcMar>
              <w:top w:type="dxa" w:w="80"/>
              <w:left w:type="dxa" w:w="100"/>
              <w:bottom w:type="dxa" w:w="80"/>
              <w:right w:type="dxa" w:w="100"/>
            </w:tcMar>
          </w:tcPr>
          <w:p>
            <w:r>
              <w:rPr>
                <w:b w:val="false"/>
                <w:bCs w:val="false"/>
                <w:sz w:val="19"/>
                <w:szCs w:val="19"/>
              </w:rPr>
              <w:t xml:space="preserve">Network types</w:t>
            </w:r>
          </w:p>
        </w:tc>
        <w:tc>
          <w:tcPr>
            <w:tcW w:type="pct" w:w="50%"/>
            <w:tcMar>
              <w:top w:type="dxa" w:w="80"/>
              <w:left w:type="dxa" w:w="100"/>
              <w:bottom w:type="dxa" w:w="80"/>
              <w:right w:type="dxa" w:w="100"/>
            </w:tcMar>
          </w:tcPr>
          <w:p>
            <w:r>
              <w:rPr>
                <w:b w:val="false"/>
                <w:bCs w:val="false"/>
                <w:sz w:val="19"/>
                <w:szCs w:val="19"/>
              </w:rPr>
              <w:t xml:space="preserve">2G, 3G, 4G, 5G</w:t>
            </w:r>
          </w:p>
        </w:tc>
      </w:tr>
      <w:tr>
        <w:tc>
          <w:tcPr>
            <w:tcW w:type="pct" w:w="50%"/>
            <w:tcMar>
              <w:top w:type="dxa" w:w="80"/>
              <w:left w:type="dxa" w:w="100"/>
              <w:bottom w:type="dxa" w:w="80"/>
              <w:right w:type="dxa" w:w="100"/>
            </w:tcMar>
          </w:tcPr>
          <w:p>
            <w:r>
              <w:rPr>
                <w:b w:val="false"/>
                <w:bCs w:val="false"/>
                <w:sz w:val="19"/>
                <w:szCs w:val="19"/>
              </w:rPr>
              <w:t xml:space="preserve">Geography</w:t>
            </w:r>
          </w:p>
        </w:tc>
        <w:tc>
          <w:tcPr>
            <w:tcW w:type="pct" w:w="50%"/>
            <w:tcMar>
              <w:top w:type="dxa" w:w="80"/>
              <w:left w:type="dxa" w:w="100"/>
              <w:bottom w:type="dxa" w:w="80"/>
              <w:right w:type="dxa" w:w="100"/>
            </w:tcMar>
          </w:tcPr>
          <w:p>
            <w:r>
              <w:rPr>
                <w:b w:val="false"/>
                <w:bCs w:val="false"/>
                <w:sz w:val="19"/>
                <w:szCs w:val="19"/>
              </w:rPr>
              <w:t xml:space="preserve">15 cities, 37 states</w:t>
            </w:r>
          </w:p>
        </w:tc>
      </w:tr>
      <w:tr>
        <w:tc>
          <w:tcPr>
            <w:tcW w:type="pct" w:w="50%"/>
            <w:tcMar>
              <w:top w:type="dxa" w:w="80"/>
              <w:left w:type="dxa" w:w="100"/>
              <w:bottom w:type="dxa" w:w="80"/>
              <w:right w:type="dxa" w:w="100"/>
            </w:tcMar>
          </w:tcPr>
          <w:p>
            <w:r>
              <w:rPr>
                <w:b w:val="false"/>
                <w:bCs w:val="false"/>
                <w:sz w:val="19"/>
                <w:szCs w:val="19"/>
              </w:rPr>
              <w:t xml:space="preserve">Outage causes</w:t>
            </w:r>
          </w:p>
        </w:tc>
        <w:tc>
          <w:tcPr>
            <w:tcW w:type="pct" w:w="50%"/>
            <w:tcMar>
              <w:top w:type="dxa" w:w="80"/>
              <w:left w:type="dxa" w:w="100"/>
              <w:bottom w:type="dxa" w:w="80"/>
              <w:right w:type="dxa" w:w="100"/>
            </w:tcMar>
          </w:tcPr>
          <w:p>
            <w:r>
              <w:rPr>
                <w:b w:val="false"/>
                <w:bCs w:val="false"/>
                <w:sz w:val="19"/>
                <w:szCs w:val="19"/>
              </w:rPr>
              <w:t xml:space="preserve">power_failure, equipment_fault, maintenance, fiber_cut, weather</w:t>
            </w:r>
          </w:p>
        </w:tc>
      </w:tr>
    </w:tbl>
    <w:p>
      <w:pPr>
        <w:spacing w:after="120"/>
      </w:pPr>
      <w:r>
        <w:t xml:space="preserve"/>
      </w:r>
    </w:p>
    <w:p>
      <w:pPr>
        <w:pStyle w:val="Heading1"/>
        <w:spacing w:after="200" w:before="400"/>
      </w:pPr>
      <w:r>
        <w:t xml:space="preserve">3. Data Quality, Cleaning &amp; Feature Engineering</w:t>
      </w:r>
    </w:p>
    <w:p>
      <w:pPr>
        <w:spacing w:after="160"/>
      </w:pPr>
      <w:r>
        <w:rPr>
          <w:sz w:val="22"/>
          <w:szCs w:val="22"/>
        </w:rPr>
        <w:t xml:space="preserve">A full data-quality audit was performed before any cleaning decision, per the engagement's core rule: investigate anomalies before deciding how to handle them, and never silently delete missing values or outliers.</w:t>
      </w:r>
    </w:p>
    <w:p>
      <w:pPr>
        <w:pStyle w:val="Heading2"/>
        <w:spacing w:after="150" w:before="300"/>
      </w:pPr>
      <w:r>
        <w:t xml:space="preserve">3.1 What Was Clean</w:t>
      </w:r>
    </w:p>
    <w:p>
      <w:pPr>
        <w:pStyle w:val="ListParagraph"/>
        <w:numPr>
          <w:ilvl w:val="0"/>
          <w:numId w:val="2"/>
        </w:numPr>
        <w:spacing w:after="90"/>
      </w:pPr>
      <w:r>
        <w:t xml:space="preserve">No NULLs anywhere except outage_reason (33,346 of 100,000 rows).</w:t>
      </w:r>
    </w:p>
    <w:p>
      <w:pPr>
        <w:pStyle w:val="ListParagraph"/>
        <w:numPr>
          <w:ilvl w:val="0"/>
          <w:numId w:val="2"/>
        </w:numPr>
        <w:spacing w:after="90"/>
      </w:pPr>
      <w:r>
        <w:t xml:space="preserve">No blank strings, whitespace issues, or capitalization inconsistencies in any text field.</w:t>
      </w:r>
    </w:p>
    <w:p>
      <w:pPr>
        <w:pStyle w:val="ListParagraph"/>
        <w:numPr>
          <w:ilvl w:val="0"/>
          <w:numId w:val="2"/>
        </w:numPr>
        <w:spacing w:after="90"/>
      </w:pPr>
      <w:r>
        <w:t xml:space="preserve">Zero exact duplicate rows.</w:t>
      </w:r>
    </w:p>
    <w:p>
      <w:pPr>
        <w:pStyle w:val="ListParagraph"/>
        <w:numPr>
          <w:ilvl w:val="0"/>
          <w:numId w:val="2"/>
        </w:numPr>
        <w:spacing w:after="90"/>
      </w:pPr>
      <w:r>
        <w:t xml:space="preserve">All numeric fields within valid ranges (uptime 0–100%, downtime/outage_count/users_affected ≥ 0).</w:t>
      </w:r>
    </w:p>
    <w:p>
      <w:pPr>
        <w:pStyle w:val="Heading2"/>
        <w:spacing w:after="150" w:before="300"/>
      </w:pPr>
      <w:r>
        <w:t xml:space="preserve">3.2 Key Structural Discoveries</w:t>
      </w:r>
    </w:p>
    <w:tbl>
      <w:tblPr>
        <w:tblW w:type="pct" w:w="100%"/>
        <w:tblBorders>
          <w:top w:val="single" w:color="B9762F" w:sz="4"/>
          <w:left w:val="single" w:color="B9762F" w:sz="24"/>
          <w:bottom w:val="single" w:color="B9762F" w:sz="4"/>
          <w:right w:val="single" w:color="B9762F"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b/>
                <w:bCs/>
                <w:color w:val="B9762F"/>
                <w:sz w:val="21"/>
                <w:szCs w:val="21"/>
              </w:rPr>
              <w:t xml:space="preserve">Finding 1 — uptime and downtime are mathematically linked</w:t>
            </w:r>
          </w:p>
          <w:p>
            <w:r>
              <w:rPr>
                <w:sz w:val="21"/>
                <w:szCs w:val="21"/>
              </w:rPr>
              <w:t xml:space="preserve">uptime_percentage = 100 − (downtime_minutes / 1440) × 100, confirmed exactly. These two fields carry the same signal in different units and must not both be used as independent model features.</w:t>
            </w:r>
          </w:p>
        </w:tc>
      </w:tr>
    </w:tbl>
    <w:p>
      <w:pPr>
        <w:spacing w:after="120"/>
      </w:pPr>
      <w:r>
        <w:t xml:space="preserve"/>
      </w:r>
    </w:p>
    <w:tbl>
      <w:tblPr>
        <w:tblW w:type="pct" w:w="100%"/>
        <w:tblBorders>
          <w:top w:val="single" w:color="9A3B31" w:sz="4"/>
          <w:left w:val="single" w:color="9A3B31" w:sz="24"/>
          <w:bottom w:val="single" w:color="9A3B31" w:sz="4"/>
          <w:right w:val="single" w:color="9A3B31"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b/>
                <w:bCs/>
                <w:color w:val="9A3B31"/>
                <w:sz w:val="21"/>
                <w:szCs w:val="21"/>
              </w:rPr>
              <w:t xml:space="preserve">Finding 2 — outage impact is an exact deterministic rule</w:t>
            </w:r>
          </w:p>
          <w:p>
            <w:r>
              <w:rPr>
                <w:sz w:val="21"/>
                <w:szCs w:val="21"/>
              </w:rPr>
              <w:t xml:space="preserve">outage_reason is populated and avg_users_affected &gt; 0 if and only if downtime_minutes &gt; 72.0 (uptime &lt; 95.0%) — confirmed with zero exceptions across all 100,000 rows. This is a hard target-leakage boundary: any field derived from this same-period relationship cannot be used to predict a same-period target without being circular.</w:t>
            </w:r>
          </w:p>
        </w:tc>
      </w:tr>
    </w:tbl>
    <w:p>
      <w:pPr>
        <w:spacing w:after="120"/>
      </w:pPr>
      <w:r>
        <w:t xml:space="preserve"/>
      </w:r>
    </w:p>
    <w:tbl>
      <w:tblPr>
        <w:tblW w:type="pct" w:w="100%"/>
        <w:tblBorders>
          <w:top w:val="single" w:color="2F7A79" w:sz="4"/>
          <w:left w:val="single" w:color="2F7A79" w:sz="24"/>
          <w:bottom w:val="single" w:color="2F7A79" w:sz="4"/>
          <w:right w:val="single" w:color="2F7A79"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b/>
                <w:bCs/>
                <w:color w:val="2F7A79"/>
                <w:sz w:val="21"/>
                <w:szCs w:val="21"/>
              </w:rPr>
              <w:t xml:space="preserve">Finding 3 — tower_id does not stably map to operator/state/network_type</w:t>
            </w:r>
          </w:p>
          <w:p>
            <w:r>
              <w:rPr>
                <w:sz w:val="21"/>
                <w:szCs w:val="21"/>
              </w:rPr>
              <w:t xml:space="preserve">18–32% of towers show more than one operator, state, or network_type across their observations. Only city is a fully stable per-tower attribute (verified with zero mismatches via the tower_id prefix). Tower-level aggregation uses tower_id + city as the stable identity, with mode values used for labeling only.</w:t>
            </w:r>
          </w:p>
        </w:tc>
      </w:tr>
    </w:tbl>
    <w:p>
      <w:pPr>
        <w:spacing w:after="120"/>
      </w:pPr>
      <w:r>
        <w:t xml:space="preserve"/>
      </w:r>
    </w:p>
    <w:tbl>
      <w:tblPr>
        <w:tblW w:type="pct" w:w="100%"/>
        <w:tblBorders>
          <w:top w:val="single" w:color="B9762F" w:sz="4"/>
          <w:left w:val="single" w:color="B9762F" w:sz="24"/>
          <w:bottom w:val="single" w:color="B9762F" w:sz="4"/>
          <w:right w:val="single" w:color="B9762F"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r>
              <w:t>Finding 4 — city and state are independent, non-hierarchical fields</w:t>
              <w:br/>
              <w:t>Every one of the 15 cities pairs with all 37 states in this dataset. There is no real 'State → City' geographic hierarchy here — they are analyzed as two parallel dimensions, not a drill-down.</w:t>
            </w:r>
          </w:p>
        </w:tc>
      </w:tr>
    </w:tbl>
    <w:p>
      <w:pPr>
        <w:spacing w:after="120"/>
      </w:pPr>
      <w:r>
        <w:t xml:space="preserve"/>
      </w:r>
    </w:p>
    <w:p>
      <w:pPr>
        <w:pStyle w:val="Heading2"/>
        <w:spacing w:after="150" w:before="300"/>
      </w:pPr>
      <w:r>
        <w:t xml:space="preserve">3.3 Outlier Analysis</w:t>
      </w:r>
    </w:p>
    <w:p>
      <w:pPr>
        <w:spacing w:after="160"/>
      </w:pPr>
      <w:r>
        <w:rPr>
          <w:sz w:val="22"/>
          <w:szCs w:val="22"/>
        </w:rPr>
        <w:t xml:space="preserve">Using the standard IQR method, zero statistical outliers were found in any of the four numeric measures. Distributions are close to uniform across bounded ranges with hard ceilings (e.g. downtime capped at 216.00 minutes, uptime at 100.00%) — consistent with a synthetic data generator, not real-world outage severity. No outlier removal was applied.</w:t>
      </w:r>
    </w:p>
    <w:p>
      <w:pPr>
        <w:pStyle w:val="Heading2"/>
        <w:spacing w:after="150" w:before="300"/>
      </w:pPr>
      <w:r>
        <w:t xml:space="preserve">3.4 Cleaning Decisions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pct" w:w="50%"/>
            <w:shd w:fill="E8E4DC" w:val="clear"/>
            <w:tcMar>
              <w:top w:type="dxa" w:w="80"/>
              <w:left w:type="dxa" w:w="100"/>
              <w:bottom w:type="dxa" w:w="80"/>
              <w:right w:type="dxa" w:w="100"/>
            </w:tcMar>
          </w:tcPr>
          <w:p>
            <w:r>
              <w:rPr>
                <w:b/>
                <w:bCs/>
                <w:sz w:val="19"/>
                <w:szCs w:val="19"/>
              </w:rPr>
              <w:t xml:space="preserve">Issue</w:t>
            </w:r>
          </w:p>
        </w:tc>
        <w:tc>
          <w:tcPr>
            <w:tcW w:type="pct" w:w="50%"/>
            <w:shd w:fill="E8E4DC" w:val="clear"/>
            <w:tcMar>
              <w:top w:type="dxa" w:w="80"/>
              <w:left w:type="dxa" w:w="100"/>
              <w:bottom w:type="dxa" w:w="80"/>
              <w:right w:type="dxa" w:w="100"/>
            </w:tcMar>
          </w:tcPr>
          <w:p>
            <w:r>
              <w:rPr>
                <w:b/>
                <w:bCs/>
                <w:sz w:val="19"/>
                <w:szCs w:val="19"/>
              </w:rPr>
              <w:t xml:space="preserve">Decision</w:t>
            </w:r>
          </w:p>
        </w:tc>
      </w:tr>
      <w:tr>
        <w:tc>
          <w:tcPr>
            <w:tcW w:type="pct" w:w="50%"/>
            <w:tcMar>
              <w:top w:type="dxa" w:w="80"/>
              <w:left w:type="dxa" w:w="100"/>
              <w:bottom w:type="dxa" w:w="80"/>
              <w:right w:type="dxa" w:w="100"/>
            </w:tcMar>
          </w:tcPr>
          <w:p>
            <w:r>
              <w:rPr>
                <w:b w:val="false"/>
                <w:bCs w:val="false"/>
                <w:sz w:val="19"/>
                <w:szCs w:val="19"/>
              </w:rPr>
              <w:t xml:space="preserve">outage_reason NULLs (33.3%)</w:t>
            </w:r>
          </w:p>
        </w:tc>
        <w:tc>
          <w:tcPr>
            <w:tcW w:type="pct" w:w="50%"/>
            <w:tcMar>
              <w:top w:type="dxa" w:w="80"/>
              <w:left w:type="dxa" w:w="100"/>
              <w:bottom w:type="dxa" w:w="80"/>
              <w:right w:type="dxa" w:w="100"/>
            </w:tcMar>
          </w:tcPr>
          <w:p>
            <w:r>
              <w:rPr>
                <w:b w:val="false"/>
                <w:bCs w:val="false"/>
                <w:sz w:val="19"/>
                <w:szCs w:val="19"/>
              </w:rPr>
              <w:t xml:space="preserve">Preserved deliberately — confirmed to mean 'no impactful outage', not missing data</w:t>
            </w:r>
          </w:p>
        </w:tc>
      </w:tr>
      <w:tr>
        <w:tc>
          <w:tcPr>
            <w:tcW w:type="pct" w:w="50%"/>
            <w:tcMar>
              <w:top w:type="dxa" w:w="80"/>
              <w:left w:type="dxa" w:w="100"/>
              <w:bottom w:type="dxa" w:w="80"/>
              <w:right w:type="dxa" w:w="100"/>
            </w:tcMar>
          </w:tcPr>
          <w:p>
            <w:r>
              <w:rPr>
                <w:b w:val="false"/>
                <w:bCs w:val="false"/>
                <w:sz w:val="19"/>
                <w:szCs w:val="19"/>
              </w:rPr>
              <w:t xml:space="preserve">1,212 duplicate (tower, date) keys</w:t>
            </w:r>
          </w:p>
        </w:tc>
        <w:tc>
          <w:tcPr>
            <w:tcW w:type="pct" w:w="50%"/>
            <w:tcMar>
              <w:top w:type="dxa" w:w="80"/>
              <w:left w:type="dxa" w:w="100"/>
              <w:bottom w:type="dxa" w:w="80"/>
              <w:right w:type="dxa" w:w="100"/>
            </w:tcMar>
          </w:tcPr>
          <w:p>
            <w:r>
              <w:rPr>
                <w:b w:val="false"/>
                <w:bCs w:val="false"/>
                <w:sz w:val="19"/>
                <w:szCs w:val="19"/>
              </w:rPr>
              <w:t xml:space="preserve">Not deduplicated — rows have genuinely different measures; dataset grain treated as 'one row per observation'</w:t>
            </w:r>
          </w:p>
        </w:tc>
      </w:tr>
      <w:tr>
        <w:tc>
          <w:tcPr>
            <w:tcW w:type="pct" w:w="50%"/>
            <w:tcMar>
              <w:top w:type="dxa" w:w="80"/>
              <w:left w:type="dxa" w:w="100"/>
              <w:bottom w:type="dxa" w:w="80"/>
              <w:right w:type="dxa" w:w="100"/>
            </w:tcMar>
          </w:tcPr>
          <w:p>
            <w:r>
              <w:rPr>
                <w:b w:val="false"/>
                <w:bCs w:val="false"/>
                <w:sz w:val="19"/>
                <w:szCs w:val="19"/>
              </w:rPr>
              <w:t xml:space="preserve">Numeric range violations</w:t>
            </w:r>
          </w:p>
        </w:tc>
        <w:tc>
          <w:tcPr>
            <w:tcW w:type="pct" w:w="50%"/>
            <w:tcMar>
              <w:top w:type="dxa" w:w="80"/>
              <w:left w:type="dxa" w:w="100"/>
              <w:bottom w:type="dxa" w:w="80"/>
              <w:right w:type="dxa" w:w="100"/>
            </w:tcMar>
          </w:tcPr>
          <w:p>
            <w:r>
              <w:rPr>
                <w:b w:val="false"/>
                <w:bCs w:val="false"/>
                <w:sz w:val="19"/>
                <w:szCs w:val="19"/>
              </w:rPr>
              <w:t xml:space="preserve">None found — no correction needed</w:t>
            </w:r>
          </w:p>
        </w:tc>
      </w:tr>
      <w:tr>
        <w:tc>
          <w:tcPr>
            <w:tcW w:type="pct" w:w="50%"/>
            <w:tcMar>
              <w:top w:type="dxa" w:w="80"/>
              <w:left w:type="dxa" w:w="100"/>
              <w:bottom w:type="dxa" w:w="80"/>
              <w:right w:type="dxa" w:w="100"/>
            </w:tcMar>
          </w:tcPr>
          <w:p>
            <w:r>
              <w:rPr>
                <w:b w:val="false"/>
                <w:bCs w:val="false"/>
                <w:sz w:val="19"/>
                <w:szCs w:val="19"/>
              </w:rPr>
              <w:t xml:space="preserve">Text formatting</w:t>
            </w:r>
          </w:p>
        </w:tc>
        <w:tc>
          <w:tcPr>
            <w:tcW w:type="pct" w:w="50%"/>
            <w:tcMar>
              <w:top w:type="dxa" w:w="80"/>
              <w:left w:type="dxa" w:w="100"/>
              <w:bottom w:type="dxa" w:w="80"/>
              <w:right w:type="dxa" w:w="100"/>
            </w:tcMar>
          </w:tcPr>
          <w:p>
            <w:r>
              <w:rPr>
                <w:b w:val="false"/>
                <w:bCs w:val="false"/>
                <w:sz w:val="19"/>
                <w:szCs w:val="19"/>
              </w:rPr>
              <w:t xml:space="preserve">Defensive TRIM() applied; zero violations existed</w:t>
            </w:r>
          </w:p>
        </w:tc>
      </w:tr>
      <w:tr>
        <w:tc>
          <w:tcPr>
            <w:tcW w:type="pct" w:w="50%"/>
            <w:tcMar>
              <w:top w:type="dxa" w:w="80"/>
              <w:left w:type="dxa" w:w="100"/>
              <w:bottom w:type="dxa" w:w="80"/>
              <w:right w:type="dxa" w:w="100"/>
            </w:tcMar>
          </w:tcPr>
          <w:p>
            <w:r>
              <w:rPr>
                <w:b w:val="false"/>
                <w:bCs w:val="false"/>
                <w:sz w:val="19"/>
                <w:szCs w:val="19"/>
              </w:rPr>
              <w:t xml:space="preserve">Row count</w:t>
            </w:r>
          </w:p>
        </w:tc>
        <w:tc>
          <w:tcPr>
            <w:tcW w:type="pct" w:w="50%"/>
            <w:tcMar>
              <w:top w:type="dxa" w:w="80"/>
              <w:left w:type="dxa" w:w="100"/>
              <w:bottom w:type="dxa" w:w="80"/>
              <w:right w:type="dxa" w:w="100"/>
            </w:tcMar>
          </w:tcPr>
          <w:p>
            <w:r>
              <w:rPr>
                <w:b w:val="false"/>
                <w:bCs w:val="false"/>
                <w:sz w:val="19"/>
                <w:szCs w:val="19"/>
              </w:rPr>
              <w:t xml:space="preserve">100,000 → 100,000 preserved at every stage — zero rows dropped</w:t>
            </w:r>
          </w:p>
        </w:tc>
      </w:tr>
    </w:tbl>
    <w:p>
      <w:pPr>
        <w:pStyle w:val="Heading2"/>
        <w:spacing w:after="150" w:before="300"/>
      </w:pPr>
      <w:r>
        <w:t xml:space="preserve">3.5 Feature Engineering</w:t>
      </w:r>
    </w:p>
    <w:p>
      <w:pPr>
        <w:spacing w:after="160"/>
      </w:pPr>
      <w:r>
        <w:t>SQL derives calendar features and project-defined operational bands. The shared Python-ready telecom_outage_features.csv contains the fields required by the Python pipeline, including obs_date, outage_severity, reliability_status, high_risk_flag, downtime_hours, observation_month, and day_of_week. These thresholds are project-defined for this synthetic dataset and are not telecom industry SLA standards.</w:t>
      </w:r>
    </w:p>
    <w:p>
      <w:pPr>
        <w:pStyle w:val="Heading1"/>
        <w:spacing w:after="200" w:before="400"/>
      </w:pPr>
      <w:r>
        <w:t xml:space="preserve">4. KPI Dictionary</w:t>
      </w:r>
    </w:p>
    <w:p>
      <w:pPr>
        <w:spacing w:after="160"/>
      </w:pPr>
      <w:r>
        <w:rPr>
          <w:sz w:val="22"/>
          <w:szCs w:val="22"/>
        </w:rPr>
        <w:t xml:space="preserve">Every KPI is calculated directly from the cleaned/feature-engineered tables. Values below reflect the full, unfiltered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pct" w:w="33.333333333333336%"/>
            <w:shd w:fill="E8E4DC" w:val="clear"/>
            <w:tcMar>
              <w:top w:type="dxa" w:w="80"/>
              <w:left w:type="dxa" w:w="100"/>
              <w:bottom w:type="dxa" w:w="80"/>
              <w:right w:type="dxa" w:w="100"/>
            </w:tcMar>
          </w:tcPr>
          <w:p>
            <w:r>
              <w:rPr>
                <w:b/>
                <w:bCs/>
                <w:sz w:val="19"/>
                <w:szCs w:val="19"/>
              </w:rPr>
              <w:t xml:space="preserve">KPI</w:t>
            </w:r>
          </w:p>
        </w:tc>
        <w:tc>
          <w:tcPr>
            <w:tcW w:type="pct" w:w="33.333333333333336%"/>
            <w:shd w:fill="E8E4DC" w:val="clear"/>
            <w:tcMar>
              <w:top w:type="dxa" w:w="80"/>
              <w:left w:type="dxa" w:w="100"/>
              <w:bottom w:type="dxa" w:w="80"/>
              <w:right w:type="dxa" w:w="100"/>
            </w:tcMar>
          </w:tcPr>
          <w:p>
            <w:r>
              <w:rPr>
                <w:b/>
                <w:bCs/>
                <w:sz w:val="19"/>
                <w:szCs w:val="19"/>
              </w:rPr>
              <w:t xml:space="preserve">Value</w:t>
            </w:r>
          </w:p>
        </w:tc>
        <w:tc>
          <w:tcPr>
            <w:tcW w:type="pct" w:w="33.333333333333336%"/>
            <w:shd w:fill="E8E4DC" w:val="clear"/>
            <w:tcMar>
              <w:top w:type="dxa" w:w="80"/>
              <w:left w:type="dxa" w:w="100"/>
              <w:bottom w:type="dxa" w:w="80"/>
              <w:right w:type="dxa" w:w="100"/>
            </w:tcMar>
          </w:tcPr>
          <w:p>
            <w:r>
              <w:rPr>
                <w:b/>
                <w:bCs/>
                <w:sz w:val="19"/>
                <w:szCs w:val="19"/>
              </w:rPr>
              <w:t xml:space="preserve">Note</w:t>
            </w:r>
          </w:p>
        </w:tc>
      </w:tr>
      <w:tr>
        <w:tc>
          <w:tcPr>
            <w:tcW w:type="pct" w:w="33.333333333333336%"/>
            <w:tcMar>
              <w:top w:type="dxa" w:w="80"/>
              <w:left w:type="dxa" w:w="100"/>
              <w:bottom w:type="dxa" w:w="80"/>
              <w:right w:type="dxa" w:w="100"/>
            </w:tcMar>
          </w:tcPr>
          <w:p>
            <w:r>
              <w:rPr>
                <w:b w:val="false"/>
                <w:bCs w:val="false"/>
                <w:sz w:val="19"/>
                <w:szCs w:val="19"/>
              </w:rPr>
              <w:t xml:space="preserve">Average Uptime %</w:t>
            </w:r>
          </w:p>
        </w:tc>
        <w:tc>
          <w:tcPr>
            <w:tcW w:type="pct" w:w="33.333333333333336%"/>
            <w:tcMar>
              <w:top w:type="dxa" w:w="80"/>
              <w:left w:type="dxa" w:w="100"/>
              <w:bottom w:type="dxa" w:w="80"/>
              <w:right w:type="dxa" w:w="100"/>
            </w:tcMar>
          </w:tcPr>
          <w:p>
            <w:r>
              <w:rPr>
                <w:b w:val="false"/>
                <w:bCs w:val="false"/>
                <w:sz w:val="19"/>
                <w:szCs w:val="19"/>
              </w:rPr>
              <w:t xml:space="preserve">92.50%</w:t>
            </w:r>
          </w:p>
        </w:tc>
        <w:tc>
          <w:tcPr>
            <w:tcW w:type="pct" w:w="33.333333333333336%"/>
            <w:tcMar>
              <w:top w:type="dxa" w:w="80"/>
              <w:left w:type="dxa" w:w="100"/>
              <w:bottom w:type="dxa" w:w="80"/>
              <w:right w:type="dxa" w:w="100"/>
            </w:tcMar>
          </w:tcPr>
          <w:p>
            <w:r>
              <w:rPr>
                <w:b w:val="false"/>
                <w:bCs w:val="false"/>
                <w:sz w:val="19"/>
                <w:szCs w:val="19"/>
              </w:rPr>
              <w:t xml:space="preserve">Observation-weighted</w:t>
            </w:r>
          </w:p>
        </w:tc>
      </w:tr>
      <w:tr>
        <w:tc>
          <w:tcPr>
            <w:tcW w:type="pct" w:w="33.333333333333336%"/>
            <w:tcMar>
              <w:top w:type="dxa" w:w="80"/>
              <w:left w:type="dxa" w:w="100"/>
              <w:bottom w:type="dxa" w:w="80"/>
              <w:right w:type="dxa" w:w="100"/>
            </w:tcMar>
          </w:tcPr>
          <w:p>
            <w:r>
              <w:rPr>
                <w:b w:val="false"/>
                <w:bCs w:val="false"/>
                <w:sz w:val="19"/>
                <w:szCs w:val="19"/>
              </w:rPr>
              <w:t xml:space="preserve">Total Downtime</w:t>
            </w:r>
          </w:p>
        </w:tc>
        <w:tc>
          <w:tcPr>
            <w:tcW w:type="pct" w:w="33.333333333333336%"/>
            <w:tcMar>
              <w:top w:type="dxa" w:w="80"/>
              <w:left w:type="dxa" w:w="100"/>
              <w:bottom w:type="dxa" w:w="80"/>
              <w:right w:type="dxa" w:w="100"/>
            </w:tcMar>
          </w:tcPr>
          <w:p>
            <w:r>
              <w:rPr>
                <w:b w:val="false"/>
                <w:bCs w:val="false"/>
                <w:sz w:val="19"/>
                <w:szCs w:val="19"/>
              </w:rPr>
              <w:t xml:space="preserve">10,798,364.5 min</w:t>
            </w:r>
          </w:p>
        </w:tc>
        <w:tc>
          <w:tcPr>
            <w:tcW w:type="pct" w:w="33.333333333333336%"/>
            <w:tcMar>
              <w:top w:type="dxa" w:w="80"/>
              <w:left w:type="dxa" w:w="100"/>
              <w:bottom w:type="dxa" w:w="80"/>
              <w:right w:type="dxa" w:w="100"/>
            </w:tcMar>
          </w:tcPr>
          <w:p>
            <w:r>
              <w:rPr>
                <w:b w:val="false"/>
                <w:bCs w:val="false"/>
                <w:sz w:val="19"/>
                <w:szCs w:val="19"/>
              </w:rPr>
              <w:t xml:space="preserve">Mathematically tied to Average Uptime — not independent</w:t>
            </w:r>
          </w:p>
        </w:tc>
      </w:tr>
      <w:tr>
        <w:tc>
          <w:tcPr>
            <w:tcW w:type="pct" w:w="33.333333333333336%"/>
            <w:tcMar>
              <w:top w:type="dxa" w:w="80"/>
              <w:left w:type="dxa" w:w="100"/>
              <w:bottom w:type="dxa" w:w="80"/>
              <w:right w:type="dxa" w:w="100"/>
            </w:tcMar>
          </w:tcPr>
          <w:p>
            <w:r>
              <w:rPr>
                <w:b w:val="false"/>
                <w:bCs w:val="false"/>
                <w:sz w:val="19"/>
                <w:szCs w:val="19"/>
              </w:rPr>
              <w:t xml:space="preserve">Total Outages</w:t>
            </w:r>
          </w:p>
        </w:tc>
        <w:tc>
          <w:tcPr>
            <w:tcW w:type="pct" w:w="33.333333333333336%"/>
            <w:tcMar>
              <w:top w:type="dxa" w:w="80"/>
              <w:left w:type="dxa" w:w="100"/>
              <w:bottom w:type="dxa" w:w="80"/>
              <w:right w:type="dxa" w:w="100"/>
            </w:tcMar>
          </w:tcPr>
          <w:p>
            <w:r>
              <w:rPr>
                <w:b w:val="false"/>
                <w:bCs w:val="false"/>
                <w:sz w:val="19"/>
                <w:szCs w:val="19"/>
              </w:rPr>
              <w:t xml:space="preserve">233,384</w:t>
            </w:r>
          </w:p>
        </w:tc>
        <w:tc>
          <w:tcPr>
            <w:tcW w:type="pct" w:w="33.333333333333336%"/>
            <w:tcMar>
              <w:top w:type="dxa" w:w="80"/>
              <w:left w:type="dxa" w:w="100"/>
              <w:bottom w:type="dxa" w:w="80"/>
              <w:right w:type="dxa" w:w="100"/>
            </w:tcMar>
          </w:tcPr>
          <w:p>
            <w:r>
              <w:rPr>
                <w:b w:val="false"/>
                <w:bCs w:val="false"/>
                <w:sz w:val="19"/>
                <w:szCs w:val="19"/>
              </w:rPr>
              <w:t xml:space="preserve">Weakly correlated (r≈0.10–0.15) with actual downtime/impact — read as event count, not impact proxy</w:t>
            </w:r>
          </w:p>
        </w:tc>
      </w:tr>
      <w:tr>
        <w:tc>
          <w:tcPr>
            <w:tcW w:type="pct" w:w="33.333333333333336%"/>
            <w:tcMar>
              <w:top w:type="dxa" w:w="80"/>
              <w:left w:type="dxa" w:w="100"/>
              <w:bottom w:type="dxa" w:w="80"/>
              <w:right w:type="dxa" w:w="100"/>
            </w:tcMar>
          </w:tcPr>
          <w:p>
            <w:r>
              <w:rPr>
                <w:b w:val="false"/>
                <w:bCs w:val="false"/>
                <w:sz w:val="19"/>
                <w:szCs w:val="19"/>
              </w:rPr>
              <w:t xml:space="preserve">Avg Outages per Tower</w:t>
            </w:r>
          </w:p>
        </w:tc>
        <w:tc>
          <w:tcPr>
            <w:tcW w:type="pct" w:w="33.333333333333336%"/>
            <w:tcMar>
              <w:top w:type="dxa" w:w="80"/>
              <w:left w:type="dxa" w:w="100"/>
              <w:bottom w:type="dxa" w:w="80"/>
              <w:right w:type="dxa" w:w="100"/>
            </w:tcMar>
          </w:tcPr>
          <w:p>
            <w:r>
              <w:rPr>
                <w:b w:val="false"/>
                <w:bCs w:val="false"/>
                <w:sz w:val="19"/>
                <w:szCs w:val="19"/>
              </w:rPr>
              <w:t xml:space="preserve">3.306</w:t>
            </w:r>
          </w:p>
        </w:tc>
        <w:tc>
          <w:tcPr>
            <w:tcW w:type="pct" w:w="33.333333333333336%"/>
            <w:tcMar>
              <w:top w:type="dxa" w:w="80"/>
              <w:left w:type="dxa" w:w="100"/>
              <w:bottom w:type="dxa" w:w="80"/>
              <w:right w:type="dxa" w:w="100"/>
            </w:tcMar>
          </w:tcPr>
          <w:p>
            <w:r>
              <w:rPr>
                <w:b w:val="false"/>
                <w:bCs w:val="false"/>
                <w:sz w:val="19"/>
                <w:szCs w:val="19"/>
              </w:rPr>
              <w:t xml:space="preserve"/>
            </w:r>
          </w:p>
        </w:tc>
      </w:tr>
      <w:tr>
        <w:tc>
          <w:tcPr>
            <w:tcW w:type="pct" w:w="33.333333333333336%"/>
            <w:tcMar>
              <w:top w:type="dxa" w:w="80"/>
              <w:left w:type="dxa" w:w="100"/>
              <w:bottom w:type="dxa" w:w="80"/>
              <w:right w:type="dxa" w:w="100"/>
            </w:tcMar>
          </w:tcPr>
          <w:p>
            <w:r>
              <w:rPr>
                <w:b w:val="false"/>
                <w:bCs w:val="false"/>
                <w:sz w:val="19"/>
                <w:szCs w:val="19"/>
              </w:rPr>
              <w:t xml:space="preserve">Avg Downtime per Tower</w:t>
            </w:r>
          </w:p>
        </w:tc>
        <w:tc>
          <w:tcPr>
            <w:tcW w:type="pct" w:w="33.333333333333336%"/>
            <w:tcMar>
              <w:top w:type="dxa" w:w="80"/>
              <w:left w:type="dxa" w:w="100"/>
              <w:bottom w:type="dxa" w:w="80"/>
              <w:right w:type="dxa" w:w="100"/>
            </w:tcMar>
          </w:tcPr>
          <w:p>
            <w:r>
              <w:rPr>
                <w:b w:val="false"/>
                <w:bCs w:val="false"/>
                <w:sz w:val="19"/>
                <w:szCs w:val="19"/>
              </w:rPr>
              <w:t xml:space="preserve">152.95 min</w:t>
            </w:r>
          </w:p>
        </w:tc>
        <w:tc>
          <w:tcPr>
            <w:tcW w:type="pct" w:w="33.333333333333336%"/>
            <w:tcMar>
              <w:top w:type="dxa" w:w="80"/>
              <w:left w:type="dxa" w:w="100"/>
              <w:bottom w:type="dxa" w:w="80"/>
              <w:right w:type="dxa" w:w="100"/>
            </w:tcMar>
          </w:tcPr>
          <w:p>
            <w:r>
              <w:rPr>
                <w:b w:val="false"/>
                <w:bCs w:val="false"/>
                <w:sz w:val="19"/>
                <w:szCs w:val="19"/>
              </w:rPr>
              <w:t xml:space="preserve"/>
            </w:r>
          </w:p>
        </w:tc>
      </w:tr>
      <w:tr>
        <w:tc>
          <w:tcPr>
            <w:tcW w:type="pct" w:w="33.333333333333336%"/>
            <w:tcMar>
              <w:top w:type="dxa" w:w="80"/>
              <w:left w:type="dxa" w:w="100"/>
              <w:bottom w:type="dxa" w:w="80"/>
              <w:right w:type="dxa" w:w="100"/>
            </w:tcMar>
          </w:tcPr>
          <w:p>
            <w:r>
              <w:rPr>
                <w:b w:val="false"/>
                <w:bCs w:val="false"/>
                <w:sz w:val="19"/>
                <w:szCs w:val="19"/>
              </w:rPr>
              <w:t xml:space="preserve">Avg Users Affected per Tower</w:t>
            </w:r>
          </w:p>
        </w:tc>
        <w:tc>
          <w:tcPr>
            <w:tcW w:type="pct" w:w="33.333333333333336%"/>
            <w:tcMar>
              <w:top w:type="dxa" w:w="80"/>
              <w:left w:type="dxa" w:w="100"/>
              <w:bottom w:type="dxa" w:w="80"/>
              <w:right w:type="dxa" w:w="100"/>
            </w:tcMar>
          </w:tcPr>
          <w:p>
            <w:r>
              <w:rPr>
                <w:b w:val="false"/>
                <w:bCs w:val="false"/>
                <w:sz w:val="19"/>
                <w:szCs w:val="19"/>
              </w:rPr>
              <w:t xml:space="preserve">259.71</w:t>
            </w:r>
          </w:p>
        </w:tc>
        <w:tc>
          <w:tcPr>
            <w:tcW w:type="pct" w:w="33.333333333333336%"/>
            <w:tcMar>
              <w:top w:type="dxa" w:w="80"/>
              <w:left w:type="dxa" w:w="100"/>
              <w:bottom w:type="dxa" w:w="80"/>
              <w:right w:type="dxa" w:w="100"/>
            </w:tcMar>
          </w:tcPr>
          <w:p>
            <w:r>
              <w:rPr>
                <w:b w:val="false"/>
                <w:bCs w:val="false"/>
                <w:sz w:val="19"/>
                <w:szCs w:val="19"/>
              </w:rPr>
              <w:t xml:space="preserve"/>
            </w:r>
          </w:p>
        </w:tc>
      </w:tr>
      <w:tr>
        <w:tc>
          <w:tcPr>
            <w:tcW w:type="pct" w:w="33.333333333333336%"/>
            <w:tcMar>
              <w:top w:type="dxa" w:w="80"/>
              <w:left w:type="dxa" w:w="100"/>
              <w:bottom w:type="dxa" w:w="80"/>
              <w:right w:type="dxa" w:w="100"/>
            </w:tcMar>
          </w:tcPr>
          <w:p>
            <w:r>
              <w:rPr>
                <w:b w:val="false"/>
                <w:bCs w:val="false"/>
                <w:sz w:val="19"/>
                <w:szCs w:val="19"/>
              </w:rPr>
              <w:t xml:space="preserve">Repeat-Outage Towers</w:t>
            </w:r>
          </w:p>
        </w:tc>
        <w:tc>
          <w:tcPr>
            <w:tcW w:type="pct" w:w="33.333333333333336%"/>
            <w:tcMar>
              <w:top w:type="dxa" w:w="80"/>
              <w:left w:type="dxa" w:w="100"/>
              <w:bottom w:type="dxa" w:w="80"/>
              <w:right w:type="dxa" w:w="100"/>
            </w:tcMar>
          </w:tcPr>
          <w:p>
            <w:r>
              <w:rPr>
                <w:b w:val="false"/>
                <w:bCs w:val="false"/>
                <w:sz w:val="19"/>
                <w:szCs w:val="19"/>
              </w:rPr>
              <w:t xml:space="preserve">12,034 (17.05%)</w:t>
            </w:r>
          </w:p>
        </w:tc>
        <w:tc>
          <w:tcPr>
            <w:tcW w:type="pct" w:w="33.333333333333336%"/>
            <w:tcMar>
              <w:top w:type="dxa" w:w="80"/>
              <w:left w:type="dxa" w:w="100"/>
              <w:bottom w:type="dxa" w:w="80"/>
              <w:right w:type="dxa" w:w="100"/>
            </w:tcMar>
          </w:tcPr>
          <w:p>
            <w:r>
              <w:rPr>
                <w:b w:val="false"/>
                <w:bCs w:val="false"/>
                <w:sz w:val="19"/>
                <w:szCs w:val="19"/>
              </w:rPr>
              <w:t xml:space="preserve">Real, grounded signal — not observation-count biased</w:t>
            </w:r>
          </w:p>
        </w:tc>
      </w:tr>
      <w:tr>
        <w:tc>
          <w:tcPr>
            <w:tcW w:type="pct" w:w="33.333333333333336%"/>
            <w:tcMar>
              <w:top w:type="dxa" w:w="80"/>
              <w:left w:type="dxa" w:w="100"/>
              <w:bottom w:type="dxa" w:w="80"/>
              <w:right w:type="dxa" w:w="100"/>
            </w:tcMar>
          </w:tcPr>
          <w:p>
            <w:r>
              <w:rPr>
                <w:b w:val="false"/>
                <w:bCs w:val="false"/>
                <w:sz w:val="19"/>
                <w:szCs w:val="19"/>
              </w:rPr>
              <w:t xml:space="preserve">Site Reliability Risk Score</w:t>
            </w:r>
          </w:p>
        </w:tc>
        <w:tc>
          <w:tcPr>
            <w:tcW w:type="pct" w:w="33.333333333333336%"/>
            <w:tcMar>
              <w:top w:type="dxa" w:w="80"/>
              <w:left w:type="dxa" w:w="100"/>
              <w:bottom w:type="dxa" w:w="80"/>
              <w:right w:type="dxa" w:w="100"/>
            </w:tcMar>
          </w:tcPr>
          <w:p>
            <w:r>
              <w:rPr>
                <w:b w:val="false"/>
                <w:bCs w:val="false"/>
                <w:sz w:val="19"/>
                <w:szCs w:val="19"/>
              </w:rPr>
              <w:t xml:space="preserve">0–100 scale, quartile categories</w:t>
            </w:r>
          </w:p>
        </w:tc>
        <w:tc>
          <w:tcPr>
            <w:tcW w:type="pct" w:w="33.333333333333336%"/>
            <w:tcMar>
              <w:top w:type="dxa" w:w="80"/>
              <w:left w:type="dxa" w:w="100"/>
              <w:bottom w:type="dxa" w:w="80"/>
              <w:right w:type="dxa" w:w="100"/>
            </w:tcMar>
          </w:tcPr>
          <w:p>
            <w:r>
              <w:rPr>
                <w:b w:val="false"/>
                <w:bCs w:val="false"/>
                <w:sz w:val="19"/>
                <w:szCs w:val="19"/>
              </w:rPr>
              <w:t xml:space="preserve">Rate-based (Phase 8), corrected for observation-count bias present in the earlier preliminary version</w:t>
            </w:r>
          </w:p>
        </w:tc>
      </w:tr>
    </w:tbl>
    <w:p>
      <w:pPr>
        <w:pStyle w:val="Heading1"/>
        <w:spacing w:after="200" w:before="400"/>
      </w:pPr>
      <w:r>
        <w:t xml:space="preserve">5. Diagnostic Analysis Findings</w:t>
      </w:r>
    </w:p>
    <w:p>
      <w:pPr>
        <w:spacing w:after="160"/>
      </w:pPr>
      <w:r>
        <w:rPr>
          <w:sz w:val="22"/>
          <w:szCs w:val="22"/>
        </w:rPr>
        <w:t xml:space="preserve">Every categorical/temporal comparison below was tested with a range-vs-standard-deviation check (comparing the spread between group averages to the dataset's overall standard deviation of 4.321 uptime points) before being reported as meaningful or not.</w:t>
      </w:r>
    </w:p>
    <w:p>
      <w:pPr>
        <w:pStyle w:val="Heading2"/>
        <w:spacing w:after="150" w:before="300"/>
      </w:pPr>
      <w:r>
        <w:t xml:space="preserve">5.1 Operator Analysis</w:t>
      </w:r>
    </w:p>
    <w:p>
      <w:pPr>
        <w:spacing w:after="160"/>
      </w:pPr>
      <w:r>
        <w:rPr>
          <w:sz w:val="22"/>
          <w:szCs w:val="22"/>
        </w:rPr>
        <w:t xml:space="preserve">Average uptime ranges from 92.48% (Airtel) to 92.52% (Glo) — a spread of 0.035 points. This is statistical noise, not a real reliability gap. Outage-cause mix and severity distributions are nearly identical across all four operators.</w:t>
      </w:r>
    </w:p>
    <w:p>
      <w:pPr>
        <w:pStyle w:val="Heading2"/>
        <w:spacing w:after="150" w:before="300"/>
      </w:pPr>
      <w:r>
        <w:t xml:space="preserve">5.2 Geographic Analysis</w:t>
      </w:r>
    </w:p>
    <w:p>
      <w:pPr>
        <w:spacing w:after="160"/>
      </w:pPr>
      <w:r>
        <w:rPr>
          <w:sz w:val="22"/>
          <w:szCs w:val="22"/>
        </w:rPr>
        <w:t xml:space="preserve">State-level average uptime ranges only 0.312 points; city-level only 0.223 points — both negligible. City and state are independent fields in this dataset (Finding 4 above), so they are reported as two parallel cuts rather than a drill-down hierarchy.</w:t>
      </w:r>
    </w:p>
    <w:p>
      <w:pPr>
        <w:pStyle w:val="Heading2"/>
        <w:spacing w:after="150" w:before="300"/>
      </w:pPr>
      <w:r>
        <w:t xml:space="preserve">5.3 Network Technology Analysis</w:t>
      </w:r>
    </w:p>
    <w:p>
      <w:pPr>
        <w:spacing w:after="160"/>
      </w:pPr>
      <w:r>
        <w:rPr>
          <w:sz w:val="22"/>
          <w:szCs w:val="22"/>
        </w:rPr>
        <w:t xml:space="preserve">Uptime ranges from 92.49% (3G) to 92.55% (5G) — a spread of 0.059 points, within noise. 4G carries the most observations (65,279 of 100,000) simply reflecting network mix.</w:t>
      </w:r>
    </w:p>
    <w:p>
      <w:pPr>
        <w:pStyle w:val="Heading2"/>
        <w:spacing w:after="150" w:before="300"/>
      </w:pPr>
      <w:r>
        <w:t xml:space="preserve">5.4 Root Cause Analysis</w:t>
      </w:r>
    </w:p>
    <w:p>
      <w:pPr>
        <w:spacing w:after="160"/>
      </w:pPr>
      <w:r>
        <w:rPr>
          <w:sz w:val="22"/>
          <w:szCs w:val="22"/>
        </w:rPr>
        <w:t xml:space="preserve">power_failure is the leading cause by frequency (39.80% of impactful observations), followed by equipment_fault (24.76%), maintenance (15.10%), fiber_cut (10.19%), and weather (10.16%). Average downtime per event is nearly identical across all five causes (143.5–144.4 minutes) — power_failure dominates total downtime and impact because it happens more often, not because it is more severe per incident.</w:t>
      </w:r>
    </w:p>
    <w:p>
      <w:pPr>
        <w:pStyle w:val="Heading2"/>
        <w:spacing w:after="150" w:before="300"/>
      </w:pPr>
      <w:r>
        <w:t xml:space="preserve">5.5 Time Analysis</w:t>
      </w:r>
    </w:p>
    <w:p>
      <w:pPr>
        <w:spacing w:after="160"/>
      </w:pPr>
      <w:r>
        <w:rPr>
          <w:sz w:val="22"/>
          <w:szCs w:val="22"/>
        </w:rPr>
        <w:t xml:space="preserve">Daily average uptime holds at ~92.5% every day across the 31-day window. No weekday/weekend effect. No real month-over-month trend exists — the window contains 30 days of September and 1 day of October, both averaging 92.50% uptime, which is a comparison of two unevenly-sized samples from the same flat distribution rather than a trend.</w:t>
      </w:r>
    </w:p>
    <w:p>
      <w:pPr>
        <w:pStyle w:val="Heading2"/>
        <w:spacing w:after="150" w:before="300"/>
      </w:pPr>
      <w:r>
        <w:t xml:space="preserve">5.6 Where Real Signal Exists</w:t>
      </w:r>
    </w:p>
    <w:tbl>
      <w:tblPr>
        <w:tblW w:type="pct" w:w="100%"/>
        <w:tblBorders>
          <w:top w:val="single" w:color="2F7A79" w:sz="4"/>
          <w:left w:val="single" w:color="2F7A79" w:sz="24"/>
          <w:bottom w:val="single" w:color="2F7A79" w:sz="4"/>
          <w:right w:val="single" w:color="2F7A79"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b/>
                <w:bCs/>
                <w:color w:val="2F7A79"/>
                <w:sz w:val="21"/>
                <w:szCs w:val="21"/>
              </w:rPr>
              <w:t xml:space="preserve">Tower-Level Signal</w:t>
            </w:r>
          </w:p>
          <w:p>
            <w:r>
              <w:rPr>
                <w:sz w:val="21"/>
                <w:szCs w:val="21"/>
              </w:rPr>
              <w:t xml:space="preserve">12,034 towers (17.05%) show more than one recorded impactful outage. The worst towers by uptime sit exactly at the dataset's hard floor (85.00% uptime, 216.00 minutes downtime). This is where genuine, defensible prioritization should focus — not category-level comparisons.</w:t>
            </w:r>
          </w:p>
        </w:tc>
      </w:tr>
    </w:tbl>
    <w:p>
      <w:pPr>
        <w:pStyle w:val="Heading1"/>
        <w:spacing w:after="200" w:before="400"/>
      </w:pPr>
      <w:r>
        <w:t xml:space="preserve">6. Predictive Modeling &amp; Risk Scoring</w:t>
      </w:r>
    </w:p>
    <w:p>
      <w:pPr>
        <w:pStyle w:val="Heading2"/>
        <w:spacing w:after="150" w:before="300"/>
      </w:pPr>
      <w:r>
        <w:t xml:space="preserve">6.1 Leakage-Safe Design</w:t>
      </w:r>
    </w:p>
    <w:p>
      <w:pPr>
        <w:spacing w:after="160"/>
      </w:pPr>
      <w:r>
        <w:t>Modeling creates chronological history → next-observation examples for towers with at least two observations. The target next_period_high_risk is taken from the next observation's high_risk_flag (1 when uptime &lt; 95%). Only prior observations contribute historical features, and the train/test split is time-aware by target date. The published test confusion matrices contain 6,419 prediction rows.</w:t>
      </w:r>
    </w:p>
    <w:p>
      <w:pPr>
        <w:pStyle w:val="Heading2"/>
        <w:spacing w:after="150" w:before="300"/>
      </w:pPr>
      <w:r>
        <w:t xml:space="preserve">6.2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200"/>
        <w:gridCol w:w="1400"/>
      </w:tblGrid>
      <w:tr>
        <w:trPr>
          <w:tblHeader/>
        </w:trPr>
        <w:tc>
          <w:tcPr>
            <w:tcW w:type="pct" w:w="16.666666666666668%"/>
            <w:shd w:fill="E8E4DC" w:val="clear"/>
            <w:tcMar>
              <w:top w:type="dxa" w:w="80"/>
              <w:left w:type="dxa" w:w="100"/>
              <w:bottom w:type="dxa" w:w="80"/>
              <w:right w:type="dxa" w:w="100"/>
            </w:tcMar>
          </w:tcPr>
          <w:p>
            <w:r>
              <w:t>Model</w:t>
            </w:r>
          </w:p>
        </w:tc>
        <w:tc>
          <w:tcPr>
            <w:tcW w:type="pct" w:w="16.666666666666668%"/>
            <w:shd w:fill="E8E4DC" w:val="clear"/>
            <w:tcMar>
              <w:top w:type="dxa" w:w="80"/>
              <w:left w:type="dxa" w:w="100"/>
              <w:bottom w:type="dxa" w:w="80"/>
              <w:right w:type="dxa" w:w="100"/>
            </w:tcMar>
          </w:tcPr>
          <w:p>
            <w:r>
              <w:t>Accuracy</w:t>
            </w:r>
          </w:p>
        </w:tc>
        <w:tc>
          <w:tcPr>
            <w:tcW w:type="pct" w:w="16.666666666666668%"/>
            <w:shd w:fill="E8E4DC" w:val="clear"/>
            <w:tcMar>
              <w:top w:type="dxa" w:w="80"/>
              <w:left w:type="dxa" w:w="100"/>
              <w:bottom w:type="dxa" w:w="80"/>
              <w:right w:type="dxa" w:w="100"/>
            </w:tcMar>
          </w:tcPr>
          <w:p>
            <w:r>
              <w:t>Precision</w:t>
            </w:r>
          </w:p>
        </w:tc>
        <w:tc>
          <w:tcPr>
            <w:tcW w:type="pct" w:w="16.666666666666668%"/>
            <w:shd w:fill="E8E4DC" w:val="clear"/>
            <w:tcMar>
              <w:top w:type="dxa" w:w="80"/>
              <w:left w:type="dxa" w:w="100"/>
              <w:bottom w:type="dxa" w:w="80"/>
              <w:right w:type="dxa" w:w="100"/>
            </w:tcMar>
          </w:tcPr>
          <w:p>
            <w:r>
              <w:t>Recall</w:t>
            </w:r>
          </w:p>
        </w:tc>
        <w:tc>
          <w:tcPr>
            <w:tcW w:type="pct" w:w="16.666666666666668%"/>
            <w:shd w:fill="E8E4DC" w:val="clear"/>
            <w:tcMar>
              <w:top w:type="dxa" w:w="80"/>
              <w:left w:type="dxa" w:w="100"/>
              <w:bottom w:type="dxa" w:w="80"/>
              <w:right w:type="dxa" w:w="100"/>
            </w:tcMar>
          </w:tcPr>
          <w:p>
            <w:r>
              <w:t>F1</w:t>
            </w:r>
          </w:p>
        </w:tc>
        <w:tc>
          <w:tcPr>
            <w:tcW w:type="pct" w:w="16.666666666666668%"/>
            <w:shd w:fill="E8E4DC" w:val="clear"/>
            <w:tcMar>
              <w:top w:type="dxa" w:w="80"/>
              <w:left w:type="dxa" w:w="100"/>
              <w:bottom w:type="dxa" w:w="80"/>
              <w:right w:type="dxa" w:w="100"/>
            </w:tcMar>
          </w:tcPr>
          <w:p>
            <w:r>
              <w:t>ROC-AUC</w:t>
            </w:r>
          </w:p>
        </w:tc>
      </w:tr>
      <w:tr>
        <w:tc>
          <w:tcPr>
            <w:tcW w:type="pct" w:w="16.666666666666668%"/>
            <w:tcMar>
              <w:top w:type="dxa" w:w="80"/>
              <w:left w:type="dxa" w:w="100"/>
              <w:bottom w:type="dxa" w:w="80"/>
              <w:right w:type="dxa" w:w="100"/>
            </w:tcMar>
          </w:tcPr>
          <w:p>
            <w:r>
              <w:t>Logistic Regression</w:t>
            </w:r>
          </w:p>
        </w:tc>
        <w:tc>
          <w:tcPr>
            <w:tcW w:type="pct" w:w="16.666666666666668%"/>
            <w:tcMar>
              <w:top w:type="dxa" w:w="80"/>
              <w:left w:type="dxa" w:w="100"/>
              <w:bottom w:type="dxa" w:w="80"/>
              <w:right w:type="dxa" w:w="100"/>
            </w:tcMar>
          </w:tcPr>
          <w:p>
            <w:r>
              <w:t>0.495</w:t>
            </w:r>
          </w:p>
        </w:tc>
        <w:tc>
          <w:tcPr>
            <w:tcW w:type="pct" w:w="16.666666666666668%"/>
            <w:tcMar>
              <w:top w:type="dxa" w:w="80"/>
              <w:left w:type="dxa" w:w="100"/>
              <w:bottom w:type="dxa" w:w="80"/>
              <w:right w:type="dxa" w:w="100"/>
            </w:tcMar>
          </w:tcPr>
          <w:p>
            <w:r>
              <w:t>0.513</w:t>
            </w:r>
          </w:p>
        </w:tc>
        <w:tc>
          <w:tcPr>
            <w:tcW w:type="pct" w:w="16.666666666666668%"/>
            <w:tcMar>
              <w:top w:type="dxa" w:w="80"/>
              <w:left w:type="dxa" w:w="100"/>
              <w:bottom w:type="dxa" w:w="80"/>
              <w:right w:type="dxa" w:w="100"/>
            </w:tcMar>
          </w:tcPr>
          <w:p>
            <w:r>
              <w:t>0.534</w:t>
            </w:r>
          </w:p>
        </w:tc>
        <w:tc>
          <w:tcPr>
            <w:tcW w:type="pct" w:w="16.666666666666668%"/>
            <w:tcMar>
              <w:top w:type="dxa" w:w="80"/>
              <w:left w:type="dxa" w:w="100"/>
              <w:bottom w:type="dxa" w:w="80"/>
              <w:right w:type="dxa" w:w="100"/>
            </w:tcMar>
          </w:tcPr>
          <w:p>
            <w:r>
              <w:t>0.523</w:t>
            </w:r>
          </w:p>
        </w:tc>
        <w:tc>
          <w:tcPr>
            <w:tcW w:type="pct" w:w="16.666666666666668%"/>
            <w:tcMar>
              <w:top w:type="dxa" w:w="80"/>
              <w:left w:type="dxa" w:w="100"/>
              <w:bottom w:type="dxa" w:w="80"/>
              <w:right w:type="dxa" w:w="100"/>
            </w:tcMar>
          </w:tcPr>
          <w:p>
            <w:r>
              <w:t>0.494</w:t>
            </w:r>
          </w:p>
        </w:tc>
      </w:tr>
      <w:tr>
        <w:tc>
          <w:tcPr>
            <w:tcW w:type="pct" w:w="16.666666666666668%"/>
            <w:tcMar>
              <w:top w:type="dxa" w:w="80"/>
              <w:left w:type="dxa" w:w="100"/>
              <w:bottom w:type="dxa" w:w="80"/>
              <w:right w:type="dxa" w:w="100"/>
            </w:tcMar>
          </w:tcPr>
          <w:p>
            <w:r>
              <w:t>Random Forest</w:t>
            </w:r>
          </w:p>
        </w:tc>
        <w:tc>
          <w:tcPr>
            <w:tcW w:type="pct" w:w="16.666666666666668%"/>
            <w:tcMar>
              <w:top w:type="dxa" w:w="80"/>
              <w:left w:type="dxa" w:w="100"/>
              <w:bottom w:type="dxa" w:w="80"/>
              <w:right w:type="dxa" w:w="100"/>
            </w:tcMar>
          </w:tcPr>
          <w:p>
            <w:r>
              <w:t>0.497</w:t>
            </w:r>
          </w:p>
        </w:tc>
        <w:tc>
          <w:tcPr>
            <w:tcW w:type="pct" w:w="16.666666666666668%"/>
            <w:tcMar>
              <w:top w:type="dxa" w:w="80"/>
              <w:left w:type="dxa" w:w="100"/>
              <w:bottom w:type="dxa" w:w="80"/>
              <w:right w:type="dxa" w:w="100"/>
            </w:tcMar>
          </w:tcPr>
          <w:p>
            <w:r>
              <w:t>0.514</w:t>
            </w:r>
          </w:p>
        </w:tc>
        <w:tc>
          <w:tcPr>
            <w:tcW w:type="pct" w:w="16.666666666666668%"/>
            <w:tcMar>
              <w:top w:type="dxa" w:w="80"/>
              <w:left w:type="dxa" w:w="100"/>
              <w:bottom w:type="dxa" w:w="80"/>
              <w:right w:type="dxa" w:w="100"/>
            </w:tcMar>
          </w:tcPr>
          <w:p>
            <w:r>
              <w:t>0.560</w:t>
            </w:r>
          </w:p>
        </w:tc>
        <w:tc>
          <w:tcPr>
            <w:tcW w:type="pct" w:w="16.666666666666668%"/>
            <w:tcMar>
              <w:top w:type="dxa" w:w="80"/>
              <w:left w:type="dxa" w:w="100"/>
              <w:bottom w:type="dxa" w:w="80"/>
              <w:right w:type="dxa" w:w="100"/>
            </w:tcMar>
          </w:tcPr>
          <w:p>
            <w:r>
              <w:t>0.536</w:t>
            </w:r>
          </w:p>
        </w:tc>
        <w:tc>
          <w:tcPr>
            <w:tcW w:type="pct" w:w="16.666666666666668%"/>
            <w:tcMar>
              <w:top w:type="dxa" w:w="80"/>
              <w:left w:type="dxa" w:w="100"/>
              <w:bottom w:type="dxa" w:w="80"/>
              <w:right w:type="dxa" w:w="100"/>
            </w:tcMar>
          </w:tcPr>
          <w:p>
            <w:r>
              <w:t>0.494</w:t>
            </w:r>
          </w:p>
        </w:tc>
      </w:tr>
      <w:tr>
        <w:tc>
          <w:tcPr>
            <w:tcW w:type="pct" w:w="16.666666666666668%"/>
            <w:tcMar>
              <w:top w:type="dxa" w:w="80"/>
              <w:left w:type="dxa" w:w="100"/>
              <w:bottom w:type="dxa" w:w="80"/>
              <w:right w:type="dxa" w:w="100"/>
            </w:tcMar>
          </w:tcPr>
          <w:p>
            <w:r>
              <w:t>Gradient Boosting</w:t>
            </w:r>
          </w:p>
        </w:tc>
        <w:tc>
          <w:tcPr>
            <w:tcW w:type="pct" w:w="16.666666666666668%"/>
            <w:tcMar>
              <w:top w:type="dxa" w:w="80"/>
              <w:left w:type="dxa" w:w="100"/>
              <w:bottom w:type="dxa" w:w="80"/>
              <w:right w:type="dxa" w:w="100"/>
            </w:tcMar>
          </w:tcPr>
          <w:p>
            <w:r>
              <w:t>0.504</w:t>
            </w:r>
          </w:p>
        </w:tc>
        <w:tc>
          <w:tcPr>
            <w:tcW w:type="pct" w:w="16.666666666666668%"/>
            <w:tcMar>
              <w:top w:type="dxa" w:w="80"/>
              <w:left w:type="dxa" w:w="100"/>
              <w:bottom w:type="dxa" w:w="80"/>
              <w:right w:type="dxa" w:w="100"/>
            </w:tcMar>
          </w:tcPr>
          <w:p>
            <w:r>
              <w:t>0.513</w:t>
            </w:r>
          </w:p>
        </w:tc>
        <w:tc>
          <w:tcPr>
            <w:tcW w:type="pct" w:w="16.666666666666668%"/>
            <w:tcMar>
              <w:top w:type="dxa" w:w="80"/>
              <w:left w:type="dxa" w:w="100"/>
              <w:bottom w:type="dxa" w:w="80"/>
              <w:right w:type="dxa" w:w="100"/>
            </w:tcMar>
          </w:tcPr>
          <w:p>
            <w:r>
              <w:t>0.854</w:t>
            </w:r>
          </w:p>
        </w:tc>
        <w:tc>
          <w:tcPr>
            <w:tcW w:type="pct" w:w="16.666666666666668%"/>
            <w:tcMar>
              <w:top w:type="dxa" w:w="80"/>
              <w:left w:type="dxa" w:w="100"/>
              <w:bottom w:type="dxa" w:w="80"/>
              <w:right w:type="dxa" w:w="100"/>
            </w:tcMar>
          </w:tcPr>
          <w:p>
            <w:r>
              <w:t>0.640</w:t>
            </w:r>
          </w:p>
        </w:tc>
        <w:tc>
          <w:tcPr>
            <w:tcW w:type="pct" w:w="16.666666666666668%"/>
            <w:tcMar>
              <w:top w:type="dxa" w:w="80"/>
              <w:left w:type="dxa" w:w="100"/>
              <w:bottom w:type="dxa" w:w="80"/>
              <w:right w:type="dxa" w:w="100"/>
            </w:tcMar>
          </w:tcPr>
          <w:p>
            <w:r>
              <w:t>0.494</w:t>
            </w:r>
          </w:p>
        </w:tc>
      </w:tr>
    </w:tbl>
    <w:p>
      <w:pPr>
        <w:spacing w:after="120"/>
      </w:pPr>
      <w:r>
        <w:t xml:space="preserve"/>
      </w:r>
    </w:p>
    <w:tbl>
      <w:tblPr>
        <w:tblW w:type="pct" w:w="100%"/>
        <w:tblBorders>
          <w:top w:val="single" w:color="9A3B31" w:sz="4"/>
          <w:left w:val="single" w:color="9A3B31" w:sz="24"/>
          <w:bottom w:val="single" w:color="9A3B31" w:sz="4"/>
          <w:right w:val="single" w:color="9A3B31"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r>
              <w:t>Honest Result</w:t>
              <w:br/>
              <w:t>All three models produce ROC-AUC ≈ 0.494, essentially random discrimination. Gradient Boosting reaches 0.854 recall by predicting many observations as high-risk, but precision is 0.513 and ROC-AUC remains at chance level. The ROC curves and confusion matrices therefore support the conclusion that the available tower history does not reliably rank future high-risk observations.</w:t>
            </w:r>
          </w:p>
        </w:tc>
      </w:tr>
    </w:tbl>
    <w:p>
      <w:pPr>
        <w:spacing w:after="120"/>
      </w:pPr>
      <w:r>
        <w:t xml:space="preserve"/>
      </w:r>
    </w:p>
    <w:p>
      <w:pPr>
        <w:pStyle w:val="Heading2"/>
        <w:spacing w:after="150" w:before="300"/>
      </w:pPr>
      <w:r>
        <w:t xml:space="preserve">6.3 Final Model Selection</w:t>
      </w:r>
    </w:p>
    <w:p>
      <w:pPr>
        <w:spacing w:after="160"/>
      </w:pPr>
      <w:r>
        <w:t>Logistic Regression is retained only as the interpretable probability baseline used in the published watchlist. It is not the highest-recall model in the current run; Gradient Boosting has the highest recall. Because all three ROC-AUC values are approximately 0.494, none demonstrates useful discrimination, so model probability is experimental.</w:t>
      </w:r>
    </w:p>
    <w:p>
      <w:pPr>
        <w:pStyle w:val="Heading2"/>
        <w:spacing w:after="150" w:before="300"/>
      </w:pPr>
      <w:r>
        <w:t xml:space="preserve">6.4 Feature Importance — Read With Caution</w:t>
      </w:r>
    </w:p>
    <w:p>
      <w:pPr>
        <w:spacing w:after="160"/>
      </w:pPr>
      <w:r>
        <w:rPr>
          <w:sz w:val="22"/>
          <w:szCs w:val="22"/>
        </w:rPr>
        <w:t xml:space="preserve">Random Forest's importances rank historical downtime/uptime features highest, but this reflects training-set impurity reduction, not validated held-out predictive power — the test-set correlations are ≈0. Reporting these as real drivers of future risk would overstate what the data supports.</w:t>
      </w:r>
    </w:p>
    <w:p>
      <w:pPr>
        <w:pStyle w:val="Heading2"/>
        <w:spacing w:after="150" w:before="300"/>
      </w:pPr>
      <w:r>
        <w:t xml:space="preserve">6.5 Corrected Site Reliability Risk Score</w:t>
      </w:r>
    </w:p>
    <w:p>
      <w:pPr>
        <w:spacing w:after="160"/>
      </w:pPr>
      <w:r>
        <w:rPr>
          <w:sz w:val="22"/>
          <w:szCs w:val="22"/>
        </w:rPr>
        <w:t xml:space="preserve">Rebuilt using per-observation rates instead of raw sums, specifically to remove the multi-observation bias found in the preliminary version. Confirmed: average score for single-observation towers (50.73) is now statistically similar to multi-observation towers (50.92).</w:t>
      </w:r>
    </w:p>
    <w:p>
      <w:pPr>
        <w:pStyle w:val="Heading2"/>
        <w:spacing w:after="150" w:before="300"/>
      </w:pPr>
      <w:r>
        <w:t xml:space="preserve">6.6 Operational Output</w:t>
      </w:r>
    </w:p>
    <w:p>
      <w:pPr>
        <w:spacing w:after="160"/>
      </w:pPr>
      <w:r>
        <w:t>tower_risk_watchlist.csv covers all 70,599 towers (validated — zero duplicate tower IDs and zero missing values). It contains the rate-based Site Reliability Risk Score, experimental Logistic Regression probability, predicted category, and a recommended_priority field generated by the Python script. Because recommended_priority is sorted primarily by the weak model probability, it is an experimental ranking, not an operational recommendation. For defensible action, prioritize observed repeat-outage towers and the rate-based risk score instead.</w:t>
      </w:r>
    </w:p>
    <w:p>
      <w:pPr>
        <w:pStyle w:val="Heading1"/>
        <w:spacing w:after="200" w:before="400"/>
      </w:pPr>
      <w:r>
        <w:t xml:space="preserve">7. Business Answers &amp; Recommendations</w:t>
      </w:r>
    </w:p>
    <w:p>
      <w:pPr>
        <w:pStyle w:val="Heading2"/>
        <w:spacing w:after="150" w:before="300"/>
      </w:pPr>
      <w:r>
        <w:t xml:space="preserve">7.1 Answers to the Core Business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pct" w:w="50%"/>
            <w:shd w:fill="E8E4DC" w:val="clear"/>
            <w:tcMar>
              <w:top w:type="dxa" w:w="80"/>
              <w:left w:type="dxa" w:w="100"/>
              <w:bottom w:type="dxa" w:w="80"/>
              <w:right w:type="dxa" w:w="100"/>
            </w:tcMar>
          </w:tcPr>
          <w:p>
            <w:r>
              <w:rPr>
                <w:b/>
                <w:bCs/>
                <w:sz w:val="19"/>
                <w:szCs w:val="19"/>
              </w:rPr>
              <w:t xml:space="preserve">Question</w:t>
            </w:r>
          </w:p>
        </w:tc>
        <w:tc>
          <w:tcPr>
            <w:tcW w:type="pct" w:w="50%"/>
            <w:shd w:fill="E8E4DC" w:val="clear"/>
            <w:tcMar>
              <w:top w:type="dxa" w:w="80"/>
              <w:left w:type="dxa" w:w="100"/>
              <w:bottom w:type="dxa" w:w="80"/>
              <w:right w:type="dxa" w:w="100"/>
            </w:tcMar>
          </w:tcPr>
          <w:p>
            <w:r>
              <w:rPr>
                <w:b/>
                <w:bCs/>
                <w:sz w:val="19"/>
                <w:szCs w:val="19"/>
              </w:rPr>
              <w:t xml:space="preserve">Answer</w:t>
            </w:r>
          </w:p>
        </w:tc>
      </w:tr>
      <w:tr>
        <w:tc>
          <w:tcPr>
            <w:tcW w:type="pct" w:w="50%"/>
            <w:tcMar>
              <w:top w:type="dxa" w:w="80"/>
              <w:left w:type="dxa" w:w="100"/>
              <w:bottom w:type="dxa" w:w="80"/>
              <w:right w:type="dxa" w:w="100"/>
            </w:tcMar>
          </w:tcPr>
          <w:p>
            <w:r>
              <w:rPr>
                <w:b w:val="false"/>
                <w:bCs w:val="false"/>
                <w:sz w:val="19"/>
                <w:szCs w:val="19"/>
              </w:rPr>
              <w:t xml:space="preserve">Primary drivers of outages</w:t>
            </w:r>
          </w:p>
        </w:tc>
        <w:tc>
          <w:tcPr>
            <w:tcW w:type="pct" w:w="50%"/>
            <w:tcMar>
              <w:top w:type="dxa" w:w="80"/>
              <w:left w:type="dxa" w:w="100"/>
              <w:bottom w:type="dxa" w:w="80"/>
              <w:right w:type="dxa" w:w="100"/>
            </w:tcMar>
          </w:tcPr>
          <w:p>
            <w:r>
              <w:rPr>
                <w:b w:val="false"/>
                <w:bCs w:val="false"/>
                <w:sz w:val="19"/>
                <w:szCs w:val="19"/>
              </w:rPr>
              <w:t xml:space="preserve">power_failure by volume (39.8%), but per-event severity is nearly identical across all causes (~143–144 min) — frequency, not severity, drives the totals.</w:t>
            </w:r>
          </w:p>
        </w:tc>
      </w:tr>
      <w:tr>
        <w:tc>
          <w:tcPr>
            <w:tcW w:type="pct" w:w="50%"/>
            <w:tcMar>
              <w:top w:type="dxa" w:w="80"/>
              <w:left w:type="dxa" w:w="100"/>
              <w:bottom w:type="dxa" w:w="80"/>
              <w:right w:type="dxa" w:w="100"/>
            </w:tcMar>
          </w:tcPr>
          <w:p>
            <w:r>
              <w:rPr>
                <w:b w:val="false"/>
                <w:bCs w:val="false"/>
                <w:sz w:val="19"/>
                <w:szCs w:val="19"/>
              </w:rPr>
              <w:t xml:space="preserve">Causes generating the greatest downtime</w:t>
            </w:r>
          </w:p>
        </w:tc>
        <w:tc>
          <w:tcPr>
            <w:tcW w:type="pct" w:w="50%"/>
            <w:tcMar>
              <w:top w:type="dxa" w:w="80"/>
              <w:left w:type="dxa" w:w="100"/>
              <w:bottom w:type="dxa" w:w="80"/>
              <w:right w:type="dxa" w:w="100"/>
            </w:tcMar>
          </w:tcPr>
          <w:p>
            <w:r>
              <w:rPr>
                <w:b w:val="false"/>
                <w:bCs w:val="false"/>
                <w:sz w:val="19"/>
                <w:szCs w:val="19"/>
              </w:rPr>
              <w:t xml:space="preserve">power_failure (3,811,683.7 min), equipment_fault (2,382,364.1 min) — same frequency-driven ranking.</w:t>
            </w:r>
          </w:p>
        </w:tc>
      </w:tr>
      <w:tr>
        <w:tc>
          <w:tcPr>
            <w:tcW w:type="pct" w:w="50%"/>
            <w:tcMar>
              <w:top w:type="dxa" w:w="80"/>
              <w:left w:type="dxa" w:w="100"/>
              <w:bottom w:type="dxa" w:w="80"/>
              <w:right w:type="dxa" w:w="100"/>
            </w:tcMar>
          </w:tcPr>
          <w:p>
            <w:r>
              <w:rPr>
                <w:b w:val="false"/>
                <w:bCs w:val="false"/>
                <w:sz w:val="19"/>
                <w:szCs w:val="19"/>
              </w:rPr>
              <w:t xml:space="preserve">Operators with the greatest reliability problems</w:t>
            </w:r>
          </w:p>
        </w:tc>
        <w:tc>
          <w:tcPr>
            <w:tcW w:type="pct" w:w="50%"/>
            <w:tcMar>
              <w:top w:type="dxa" w:w="80"/>
              <w:left w:type="dxa" w:w="100"/>
              <w:bottom w:type="dxa" w:w="80"/>
              <w:right w:type="dxa" w:w="100"/>
            </w:tcMar>
          </w:tcPr>
          <w:p>
            <w:r>
              <w:rPr>
                <w:b w:val="false"/>
                <w:bCs w:val="false"/>
                <w:sz w:val="19"/>
                <w:szCs w:val="19"/>
              </w:rPr>
              <w:t xml:space="preserve">None, meaningfully — 0.035pt range vs. 4.321 stddev.</w:t>
            </w:r>
          </w:p>
        </w:tc>
      </w:tr>
      <w:tr>
        <w:tc>
          <w:tcPr>
            <w:tcW w:type="pct" w:w="50%"/>
            <w:tcMar>
              <w:top w:type="dxa" w:w="80"/>
              <w:left w:type="dxa" w:w="100"/>
              <w:bottom w:type="dxa" w:w="80"/>
              <w:right w:type="dxa" w:w="100"/>
            </w:tcMar>
          </w:tcPr>
          <w:p>
            <w:r>
              <w:rPr>
                <w:b w:val="false"/>
                <w:bCs w:val="false"/>
                <w:sz w:val="19"/>
                <w:szCs w:val="19"/>
              </w:rPr>
              <w:t xml:space="preserve">Most vulnerable states/cities</w:t>
            </w:r>
          </w:p>
        </w:tc>
        <w:tc>
          <w:tcPr>
            <w:tcW w:type="pct" w:w="50%"/>
            <w:tcMar>
              <w:top w:type="dxa" w:w="80"/>
              <w:left w:type="dxa" w:w="100"/>
              <w:bottom w:type="dxa" w:w="80"/>
              <w:right w:type="dxa" w:w="100"/>
            </w:tcMar>
          </w:tcPr>
          <w:p>
            <w:r>
              <w:rPr>
                <w:b w:val="false"/>
                <w:bCs w:val="false"/>
                <w:sz w:val="19"/>
                <w:szCs w:val="19"/>
              </w:rPr>
              <w:t xml:space="preserve">None, meaningfully — 0.312pt / 0.223pt ranges vs. 4.321 stddev; city/state are independent fields, not real geography here.</w:t>
            </w:r>
          </w:p>
        </w:tc>
      </w:tr>
      <w:tr>
        <w:tc>
          <w:tcPr>
            <w:tcW w:type="pct" w:w="50%"/>
            <w:tcMar>
              <w:top w:type="dxa" w:w="80"/>
              <w:left w:type="dxa" w:w="100"/>
              <w:bottom w:type="dxa" w:w="80"/>
              <w:right w:type="dxa" w:w="100"/>
            </w:tcMar>
          </w:tcPr>
          <w:p>
            <w:r>
              <w:rPr>
                <w:b w:val="false"/>
                <w:bCs w:val="false"/>
                <w:sz w:val="19"/>
                <w:szCs w:val="19"/>
              </w:rPr>
              <w:t xml:space="preserve">Towers that repeatedly underperform</w:t>
            </w:r>
          </w:p>
        </w:tc>
        <w:tc>
          <w:tcPr>
            <w:tcW w:type="pct" w:w="50%"/>
            <w:tcMar>
              <w:top w:type="dxa" w:w="80"/>
              <w:left w:type="dxa" w:w="100"/>
              <w:bottom w:type="dxa" w:w="80"/>
              <w:right w:type="dxa" w:w="100"/>
            </w:tcMar>
          </w:tcPr>
          <w:p>
            <w:r>
              <w:rPr>
                <w:b w:val="false"/>
                <w:bCs w:val="false"/>
                <w:sz w:val="19"/>
                <w:szCs w:val="19"/>
              </w:rPr>
              <w:t xml:space="preserve">12,034 towers (17.05%) with repeat impactful outages — the dataset's one real site-level signal.</w:t>
            </w:r>
          </w:p>
        </w:tc>
      </w:tr>
      <w:tr>
        <w:tc>
          <w:tcPr>
            <w:tcW w:type="pct" w:w="50%"/>
            <w:tcMar>
              <w:top w:type="dxa" w:w="80"/>
              <w:left w:type="dxa" w:w="100"/>
              <w:bottom w:type="dxa" w:w="80"/>
              <w:right w:type="dxa" w:w="100"/>
            </w:tcMar>
          </w:tcPr>
          <w:p>
            <w:r>
              <w:rPr>
                <w:b w:val="false"/>
                <w:bCs w:val="false"/>
                <w:sz w:val="19"/>
                <w:szCs w:val="19"/>
              </w:rPr>
              <w:t xml:space="preserve">Network technologies with greater reliability issues</w:t>
            </w:r>
          </w:p>
        </w:tc>
        <w:tc>
          <w:tcPr>
            <w:tcW w:type="pct" w:w="50%"/>
            <w:tcMar>
              <w:top w:type="dxa" w:w="80"/>
              <w:left w:type="dxa" w:w="100"/>
              <w:bottom w:type="dxa" w:w="80"/>
              <w:right w:type="dxa" w:w="100"/>
            </w:tcMar>
          </w:tcPr>
          <w:p>
            <w:r>
              <w:rPr>
                <w:b w:val="false"/>
                <w:bCs w:val="false"/>
                <w:sz w:val="19"/>
                <w:szCs w:val="19"/>
              </w:rPr>
              <w:t xml:space="preserve">None, meaningfully — 0.059pt range vs. 4.321 stddev.</w:t>
            </w:r>
          </w:p>
        </w:tc>
      </w:tr>
      <w:tr>
        <w:tc>
          <w:tcPr>
            <w:tcW w:type="pct" w:w="50%"/>
            <w:tcMar>
              <w:top w:type="dxa" w:w="80"/>
              <w:left w:type="dxa" w:w="100"/>
              <w:bottom w:type="dxa" w:w="80"/>
              <w:right w:type="dxa" w:w="100"/>
            </w:tcMar>
          </w:tcPr>
          <w:p>
            <w:r>
              <w:rPr>
                <w:b w:val="false"/>
                <w:bCs w:val="false"/>
                <w:sz w:val="19"/>
                <w:szCs w:val="19"/>
              </w:rPr>
              <w:t xml:space="preserve">Outages with the greatest customer impact</w:t>
            </w:r>
          </w:p>
        </w:tc>
        <w:tc>
          <w:tcPr>
            <w:tcW w:type="pct" w:w="50%"/>
            <w:tcMar>
              <w:top w:type="dxa" w:w="80"/>
              <w:left w:type="dxa" w:w="100"/>
              <w:bottom w:type="dxa" w:w="80"/>
              <w:right w:type="dxa" w:w="100"/>
            </w:tcMar>
          </w:tcPr>
          <w:p>
            <w:r>
              <w:rPr>
                <w:b w:val="false"/>
                <w:bCs w:val="false"/>
                <w:sz w:val="19"/>
                <w:szCs w:val="19"/>
              </w:rPr>
              <w:t xml:space="preserve">power_failure by volume; impact magnitude is independent of downtime duration once an outage occurs (r=0.002).</w:t>
            </w:r>
          </w:p>
        </w:tc>
      </w:tr>
      <w:tr>
        <w:tc>
          <w:tcPr>
            <w:tcW w:type="pct" w:w="50%"/>
            <w:tcMar>
              <w:top w:type="dxa" w:w="80"/>
              <w:left w:type="dxa" w:w="100"/>
              <w:bottom w:type="dxa" w:w="80"/>
              <w:right w:type="dxa" w:w="100"/>
            </w:tcMar>
          </w:tcPr>
          <w:p>
            <w:r>
              <w:rPr>
                <w:b w:val="false"/>
                <w:bCs w:val="false"/>
                <w:sz w:val="19"/>
                <w:szCs w:val="19"/>
              </w:rPr>
              <w:t xml:space="preserve">Temporal patterns</w:t>
            </w:r>
          </w:p>
        </w:tc>
        <w:tc>
          <w:tcPr>
            <w:tcW w:type="pct" w:w="50%"/>
            <w:tcMar>
              <w:top w:type="dxa" w:w="80"/>
              <w:left w:type="dxa" w:w="100"/>
              <w:bottom w:type="dxa" w:w="80"/>
              <w:right w:type="dxa" w:w="100"/>
            </w:tcMar>
          </w:tcPr>
          <w:p>
            <w:r>
              <w:rPr>
                <w:b w:val="false"/>
                <w:bCs w:val="false"/>
                <w:sz w:val="19"/>
                <w:szCs w:val="19"/>
              </w:rPr>
              <w:t xml:space="preserve">None of substance — flat across day, week, and month.</w:t>
            </w:r>
          </w:p>
        </w:tc>
      </w:tr>
      <w:tr>
        <w:tc>
          <w:tcPr>
            <w:tcW w:type="pct" w:w="50%"/>
            <w:tcMar>
              <w:top w:type="dxa" w:w="80"/>
              <w:left w:type="dxa" w:w="100"/>
              <w:bottom w:type="dxa" w:w="80"/>
              <w:right w:type="dxa" w:w="100"/>
            </w:tcMar>
          </w:tcPr>
          <w:p>
            <w:r>
              <w:rPr>
                <w:b w:val="false"/>
                <w:bCs w:val="false"/>
                <w:sz w:val="19"/>
                <w:szCs w:val="19"/>
              </w:rPr>
              <w:t xml:space="preserve">Factors indicating future high-risk sites</w:t>
            </w:r>
          </w:p>
        </w:tc>
        <w:tc>
          <w:tcPr>
            <w:tcW w:type="pct" w:w="50%"/>
            <w:tcMar>
              <w:top w:type="dxa" w:w="80"/>
              <w:left w:type="dxa" w:w="100"/>
              <w:bottom w:type="dxa" w:w="80"/>
              <w:right w:type="dxa" w:w="100"/>
            </w:tcMar>
          </w:tcPr>
          <w:p>
            <w:r>
              <w:rPr>
                <w:b w:val="false"/>
                <w:bCs w:val="false"/>
                <w:sz w:val="19"/>
                <w:szCs w:val="19"/>
              </w:rPr>
              <w:t xml:space="preserve">None found, despite rigorous testing — all correlations ≤0.015; all models at chance-level ROC-AUC.</w:t>
            </w:r>
          </w:p>
        </w:tc>
      </w:tr>
      <w:tr>
        <w:tc>
          <w:tcPr>
            <w:tcW w:type="pct" w:w="50%"/>
            <w:tcMar>
              <w:top w:type="dxa" w:w="80"/>
              <w:left w:type="dxa" w:w="100"/>
              <w:bottom w:type="dxa" w:w="80"/>
              <w:right w:type="dxa" w:w="100"/>
            </w:tcMar>
          </w:tcPr>
          <w:p>
            <w:r>
              <w:rPr>
                <w:b w:val="false"/>
                <w:bCs w:val="false"/>
                <w:sz w:val="19"/>
                <w:szCs w:val="19"/>
              </w:rPr>
              <w:t xml:space="preserve">Sites management should prioritize</w:t>
            </w:r>
          </w:p>
        </w:tc>
        <w:tc>
          <w:tcPr>
            <w:tcW w:type="pct" w:w="50%"/>
            <w:tcMar>
              <w:top w:type="dxa" w:w="80"/>
              <w:left w:type="dxa" w:w="100"/>
              <w:bottom w:type="dxa" w:w="80"/>
              <w:right w:type="dxa" w:w="100"/>
            </w:tcMar>
          </w:tcPr>
          <w:p>
            <w:r>
              <w:rPr>
                <w:b w:val="false"/>
                <w:bCs w:val="false"/>
                <w:sz w:val="19"/>
                <w:szCs w:val="19"/>
              </w:rPr>
              <w:t xml:space="preserve">The 12,034 repeat-outage towers, cross-referenced with Critical-Risk-score towers — not the unproven predictive model's output.</w:t>
            </w:r>
          </w:p>
        </w:tc>
      </w:tr>
    </w:tbl>
    <w:p>
      <w:pPr>
        <w:pStyle w:val="Heading2"/>
        <w:spacing w:after="150" w:before="300"/>
      </w:pPr>
      <w:r>
        <w:t xml:space="preserve">7.2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pct" w:w="50%"/>
            <w:shd w:fill="E8E4DC" w:val="clear"/>
            <w:tcMar>
              <w:top w:type="dxa" w:w="80"/>
              <w:left w:type="dxa" w:w="100"/>
              <w:bottom w:type="dxa" w:w="80"/>
              <w:right w:type="dxa" w:w="100"/>
            </w:tcMar>
          </w:tcPr>
          <w:p>
            <w:r>
              <w:rPr>
                <w:b/>
                <w:bCs/>
                <w:sz w:val="19"/>
                <w:szCs w:val="19"/>
              </w:rPr>
              <w:t xml:space="preserve">Recommendation</w:t>
            </w:r>
          </w:p>
        </w:tc>
        <w:tc>
          <w:tcPr>
            <w:tcW w:type="pct" w:w="50%"/>
            <w:shd w:fill="E8E4DC" w:val="clear"/>
            <w:tcMar>
              <w:top w:type="dxa" w:w="80"/>
              <w:left w:type="dxa" w:w="100"/>
              <w:bottom w:type="dxa" w:w="80"/>
              <w:right w:type="dxa" w:w="100"/>
            </w:tcMar>
          </w:tcPr>
          <w:p>
            <w:r>
              <w:rPr>
                <w:b/>
                <w:bCs/>
                <w:sz w:val="19"/>
                <w:szCs w:val="19"/>
              </w:rPr>
              <w:t xml:space="preserve">Linked Finding</w:t>
            </w:r>
          </w:p>
        </w:tc>
      </w:tr>
      <w:tr>
        <w:tc>
          <w:tcPr>
            <w:tcW w:type="pct" w:w="50%"/>
            <w:tcMar>
              <w:top w:type="dxa" w:w="80"/>
              <w:left w:type="dxa" w:w="100"/>
              <w:bottom w:type="dxa" w:w="80"/>
              <w:right w:type="dxa" w:w="100"/>
            </w:tcMar>
          </w:tcPr>
          <w:p>
            <w:r>
              <w:rPr>
                <w:b w:val="false"/>
                <w:bCs w:val="false"/>
                <w:sz w:val="19"/>
                <w:szCs w:val="19"/>
              </w:rPr>
              <w:t xml:space="preserve">Invest in backup power/grid redundancy network-wide, not targeted by operator/state/tech</w:t>
            </w:r>
          </w:p>
        </w:tc>
        <w:tc>
          <w:tcPr>
            <w:tcW w:type="pct" w:w="50%"/>
            <w:tcMar>
              <w:top w:type="dxa" w:w="80"/>
              <w:left w:type="dxa" w:w="100"/>
              <w:bottom w:type="dxa" w:w="80"/>
              <w:right w:type="dxa" w:w="100"/>
            </w:tcMar>
          </w:tcPr>
          <w:p>
            <w:r>
              <w:rPr>
                <w:b w:val="false"/>
                <w:bCs w:val="false"/>
                <w:sz w:val="19"/>
                <w:szCs w:val="19"/>
              </w:rPr>
              <w:t xml:space="preserve">power_failure leads by frequency (39.8%); no dimension justifies targeting a subset</w:t>
            </w:r>
          </w:p>
        </w:tc>
      </w:tr>
      <w:tr>
        <w:tc>
          <w:tcPr>
            <w:tcW w:type="pct" w:w="50%"/>
            <w:tcMar>
              <w:top w:type="dxa" w:w="80"/>
              <w:left w:type="dxa" w:w="100"/>
              <w:bottom w:type="dxa" w:w="80"/>
              <w:right w:type="dxa" w:w="100"/>
            </w:tcMar>
          </w:tcPr>
          <w:p>
            <w:r>
              <w:rPr>
                <w:b w:val="false"/>
                <w:bCs w:val="false"/>
                <w:sz w:val="19"/>
                <w:szCs w:val="19"/>
              </w:rPr>
              <w:t xml:space="preserve">Expand preventive maintenance to reduce equipment_fault frequency</w:t>
            </w:r>
          </w:p>
        </w:tc>
        <w:tc>
          <w:tcPr>
            <w:tcW w:type="pct" w:w="50%"/>
            <w:tcMar>
              <w:top w:type="dxa" w:w="80"/>
              <w:left w:type="dxa" w:w="100"/>
              <w:bottom w:type="dxa" w:w="80"/>
              <w:right w:type="dxa" w:w="100"/>
            </w:tcMar>
          </w:tcPr>
          <w:p>
            <w:r>
              <w:rPr>
                <w:b w:val="false"/>
                <w:bCs w:val="false"/>
                <w:sz w:val="19"/>
                <w:szCs w:val="19"/>
              </w:rPr>
              <w:t xml:space="preserve">Second-largest cause by volume (24.76%)</w:t>
            </w:r>
          </w:p>
        </w:tc>
      </w:tr>
      <w:tr>
        <w:tc>
          <w:tcPr>
            <w:tcW w:type="pct" w:w="50%"/>
            <w:tcMar>
              <w:top w:type="dxa" w:w="80"/>
              <w:left w:type="dxa" w:w="100"/>
              <w:bottom w:type="dxa" w:w="80"/>
              <w:right w:type="dxa" w:w="100"/>
            </w:tcMar>
          </w:tcPr>
          <w:p>
            <w:r>
              <w:rPr>
                <w:b w:val="false"/>
                <w:bCs w:val="false"/>
                <w:sz w:val="19"/>
                <w:szCs w:val="19"/>
              </w:rPr>
              <w:t xml:space="preserve">Prioritize field dispatch to the 12,034 repeat-outage towers, cross-referenced with Critical-Risk-score towers</w:t>
            </w:r>
          </w:p>
        </w:tc>
        <w:tc>
          <w:tcPr>
            <w:tcW w:type="pct" w:w="50%"/>
            <w:tcMar>
              <w:top w:type="dxa" w:w="80"/>
              <w:left w:type="dxa" w:w="100"/>
              <w:bottom w:type="dxa" w:w="80"/>
              <w:right w:type="dxa" w:w="100"/>
            </w:tcMar>
          </w:tcPr>
          <w:p>
            <w:r>
              <w:rPr>
                <w:b w:val="false"/>
                <w:bCs w:val="false"/>
                <w:sz w:val="19"/>
                <w:szCs w:val="19"/>
              </w:rPr>
              <w:t xml:space="preserve">The only site-level grouping with real, repeated, observed impact behind it</w:t>
            </w:r>
          </w:p>
        </w:tc>
      </w:tr>
      <w:tr>
        <w:tc>
          <w:tcPr>
            <w:tcW w:type="pct" w:w="50%"/>
            <w:tcMar>
              <w:top w:type="dxa" w:w="80"/>
              <w:left w:type="dxa" w:w="100"/>
              <w:bottom w:type="dxa" w:w="80"/>
              <w:right w:type="dxa" w:w="100"/>
            </w:tcMar>
          </w:tcPr>
          <w:p>
            <w:r>
              <w:rPr>
                <w:b w:val="false"/>
                <w:bCs w:val="false"/>
                <w:sz w:val="19"/>
                <w:szCs w:val="19"/>
              </w:rPr>
              <w:t xml:space="preserve">Do not deploy the current predictive model operationally</w:t>
            </w:r>
          </w:p>
        </w:tc>
        <w:tc>
          <w:tcPr>
            <w:tcW w:type="pct" w:w="50%"/>
            <w:tcMar>
              <w:top w:type="dxa" w:w="80"/>
              <w:left w:type="dxa" w:w="100"/>
              <w:bottom w:type="dxa" w:w="80"/>
              <w:right w:type="dxa" w:w="100"/>
            </w:tcMar>
          </w:tcPr>
          <w:p>
            <w:r>
              <w:rPr>
                <w:b w:val="false"/>
                <w:bCs w:val="false"/>
                <w:sz w:val="19"/>
                <w:szCs w:val="19"/>
              </w:rPr>
              <w:t xml:space="preserve">ROC-AUC ≈ chance; all historical-feature correlations ≤0.015</w:t>
            </w:r>
          </w:p>
        </w:tc>
      </w:tr>
      <w:tr>
        <w:tc>
          <w:tcPr>
            <w:tcW w:type="pct" w:w="50%"/>
            <w:tcMar>
              <w:top w:type="dxa" w:w="80"/>
              <w:left w:type="dxa" w:w="100"/>
              <w:bottom w:type="dxa" w:w="80"/>
              <w:right w:type="dxa" w:w="100"/>
            </w:tcMar>
          </w:tcPr>
          <w:p>
            <w:r>
              <w:rPr>
                <w:b w:val="false"/>
                <w:bCs w:val="false"/>
                <w:sz w:val="19"/>
                <w:szCs w:val="19"/>
              </w:rPr>
              <w:t xml:space="preserve">For future modeling, prioritize collecting genuinely persistent site-level factors (equipment age, backup power, grid stability)</w:t>
            </w:r>
          </w:p>
        </w:tc>
        <w:tc>
          <w:tcPr>
            <w:tcW w:type="pct" w:w="50%"/>
            <w:tcMar>
              <w:top w:type="dxa" w:w="80"/>
              <w:left w:type="dxa" w:w="100"/>
              <w:bottom w:type="dxa" w:w="80"/>
              <w:right w:type="dxa" w:w="100"/>
            </w:tcMar>
          </w:tcPr>
          <w:p>
            <w:r>
              <w:rPr>
                <w:b w:val="false"/>
                <w:bCs w:val="false"/>
                <w:sz w:val="19"/>
                <w:szCs w:val="19"/>
              </w:rPr>
              <w:t xml:space="preserve">Categorical fields in this dataset show no signal</w:t>
            </w:r>
          </w:p>
        </w:tc>
      </w:tr>
      <w:tr>
        <w:tc>
          <w:tcPr>
            <w:tcW w:type="pct" w:w="50%"/>
            <w:tcMar>
              <w:top w:type="dxa" w:w="80"/>
              <w:left w:type="dxa" w:w="100"/>
              <w:bottom w:type="dxa" w:w="80"/>
              <w:right w:type="dxa" w:w="100"/>
            </w:tcMar>
          </w:tcPr>
          <w:p>
            <w:r>
              <w:rPr>
                <w:b w:val="false"/>
                <w:bCs w:val="false"/>
                <w:sz w:val="19"/>
                <w:szCs w:val="19"/>
              </w:rPr>
              <w:t xml:space="preserve">Escalate outage_count's data-collection process for review</w:t>
            </w:r>
          </w:p>
        </w:tc>
        <w:tc>
          <w:tcPr>
            <w:tcW w:type="pct" w:w="50%"/>
            <w:tcMar>
              <w:top w:type="dxa" w:w="80"/>
              <w:left w:type="dxa" w:w="100"/>
              <w:bottom w:type="dxa" w:w="80"/>
              <w:right w:type="dxa" w:w="100"/>
            </w:tcMar>
          </w:tcPr>
          <w:p>
            <w:r>
              <w:rPr>
                <w:b w:val="false"/>
                <w:bCs w:val="false"/>
                <w:sz w:val="19"/>
                <w:szCs w:val="19"/>
              </w:rPr>
              <w:t xml:space="preserve">Weak correlation (r≈0.10–0.15) with downtime/impact; internal inconsistencies found</w:t>
            </w:r>
          </w:p>
        </w:tc>
      </w:tr>
    </w:tbl>
    <w:p>
      <w:pPr>
        <w:pStyle w:val="Heading1"/>
        <w:spacing w:after="200" w:before="400"/>
      </w:pPr>
      <w:r>
        <w:t xml:space="preserve">8. Reconciliation &amp; Limitations</w:t>
      </w:r>
    </w:p>
    <w:p>
      <w:pPr>
        <w:pStyle w:val="Heading2"/>
        <w:spacing w:after="150" w:before="300"/>
      </w:pPr>
      <w:r>
        <w:t xml:space="preserve">8.1 Final Validation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pct" w:w="50%"/>
            <w:shd w:fill="E8E4DC" w:val="clear"/>
            <w:tcMar>
              <w:top w:type="dxa" w:w="80"/>
              <w:left w:type="dxa" w:w="100"/>
              <w:bottom w:type="dxa" w:w="80"/>
              <w:right w:type="dxa" w:w="100"/>
            </w:tcMar>
          </w:tcPr>
          <w:p>
            <w:r>
              <w:rPr>
                <w:b/>
                <w:bCs/>
                <w:sz w:val="19"/>
                <w:szCs w:val="19"/>
              </w:rPr>
              <w:t xml:space="preserve">Check</w:t>
            </w:r>
          </w:p>
        </w:tc>
        <w:tc>
          <w:tcPr>
            <w:tcW w:type="pct" w:w="50%"/>
            <w:shd w:fill="E8E4DC" w:val="clear"/>
            <w:tcMar>
              <w:top w:type="dxa" w:w="80"/>
              <w:left w:type="dxa" w:w="100"/>
              <w:bottom w:type="dxa" w:w="80"/>
              <w:right w:type="dxa" w:w="100"/>
            </w:tcMar>
          </w:tcPr>
          <w:p>
            <w:r>
              <w:rPr>
                <w:b/>
                <w:bCs/>
                <w:sz w:val="19"/>
                <w:szCs w:val="19"/>
              </w:rPr>
              <w:t xml:space="preserve">Result</w:t>
            </w:r>
          </w:p>
        </w:tc>
      </w:tr>
      <w:tr>
        <w:tc>
          <w:tcPr>
            <w:tcW w:type="pct" w:w="50%"/>
            <w:tcMar>
              <w:top w:type="dxa" w:w="80"/>
              <w:left w:type="dxa" w:w="100"/>
              <w:bottom w:type="dxa" w:w="80"/>
              <w:right w:type="dxa" w:w="100"/>
            </w:tcMar>
          </w:tcPr>
          <w:p>
            <w:r>
              <w:rPr>
                <w:b w:val="false"/>
                <w:bCs w:val="false"/>
                <w:sz w:val="19"/>
                <w:szCs w:val="19"/>
              </w:rPr>
              <w:t xml:space="preserve">SQL vs. Python record counts</w:t>
            </w:r>
          </w:p>
        </w:tc>
        <w:tc>
          <w:tcPr>
            <w:tcW w:type="pct" w:w="50%"/>
            <w:tcMar>
              <w:top w:type="dxa" w:w="80"/>
              <w:left w:type="dxa" w:w="100"/>
              <w:bottom w:type="dxa" w:w="80"/>
              <w:right w:type="dxa" w:w="100"/>
            </w:tcMar>
          </w:tcPr>
          <w:p>
            <w:r>
              <w:rPr>
                <w:b w:val="false"/>
                <w:bCs w:val="false"/>
                <w:sz w:val="19"/>
                <w:szCs w:val="19"/>
              </w:rPr>
              <w:t xml:space="preserve">Reconciled exactly at every phase (100,000 / 70,599)</w:t>
            </w:r>
          </w:p>
        </w:tc>
      </w:tr>
      <w:tr>
        <w:tc>
          <w:tcPr>
            <w:tcW w:type="pct" w:w="50%"/>
            <w:tcMar>
              <w:top w:type="dxa" w:w="80"/>
              <w:left w:type="dxa" w:w="100"/>
              <w:bottom w:type="dxa" w:w="80"/>
              <w:right w:type="dxa" w:w="100"/>
            </w:tcMar>
          </w:tcPr>
          <w:p>
            <w:r>
              <w:rPr>
                <w:b w:val="false"/>
                <w:bCs w:val="false"/>
                <w:sz w:val="19"/>
                <w:szCs w:val="19"/>
              </w:rPr>
              <w:t xml:space="preserve">Calculated columns validated</w:t>
            </w:r>
          </w:p>
        </w:tc>
        <w:tc>
          <w:tcPr>
            <w:tcW w:type="pct" w:w="50%"/>
            <w:tcMar>
              <w:top w:type="dxa" w:w="80"/>
              <w:left w:type="dxa" w:w="100"/>
              <w:bottom w:type="dxa" w:w="80"/>
              <w:right w:type="dxa" w:w="100"/>
            </w:tcMar>
          </w:tcPr>
          <w:p>
            <w:r>
              <w:t>Derived analysis fields validated; source outage_reason blanks are preserved as missing/no-impact values in the aligned feature export</w:t>
            </w:r>
          </w:p>
        </w:tc>
      </w:tr>
      <w:tr>
        <w:tc>
          <w:tcPr>
            <w:tcW w:type="pct" w:w="50%"/>
            <w:tcMar>
              <w:top w:type="dxa" w:w="80"/>
              <w:left w:type="dxa" w:w="100"/>
              <w:bottom w:type="dxa" w:w="80"/>
              <w:right w:type="dxa" w:w="100"/>
            </w:tcMar>
          </w:tcPr>
          <w:p>
            <w:r>
              <w:rPr>
                <w:b w:val="false"/>
                <w:bCs w:val="false"/>
                <w:sz w:val="19"/>
                <w:szCs w:val="19"/>
              </w:rPr>
              <w:t xml:space="preserve">Target leakage check</w:t>
            </w:r>
          </w:p>
        </w:tc>
        <w:tc>
          <w:tcPr>
            <w:tcW w:type="pct" w:w="50%"/>
            <w:tcMar>
              <w:top w:type="dxa" w:w="80"/>
              <w:left w:type="dxa" w:w="100"/>
              <w:bottom w:type="dxa" w:w="80"/>
              <w:right w:type="dxa" w:w="100"/>
            </w:tcMar>
          </w:tcPr>
          <w:p>
            <w:r>
              <w:rPr>
                <w:b w:val="false"/>
                <w:bCs w:val="false"/>
                <w:sz w:val="19"/>
                <w:szCs w:val="19"/>
              </w:rPr>
              <w:t xml:space="preserve">Verified explicitly — time-aware split, no same-period fields as features</w:t>
            </w:r>
          </w:p>
        </w:tc>
      </w:tr>
      <w:tr>
        <w:tc>
          <w:tcPr>
            <w:tcW w:type="pct" w:w="50%"/>
            <w:tcMar>
              <w:top w:type="dxa" w:w="80"/>
              <w:left w:type="dxa" w:w="100"/>
              <w:bottom w:type="dxa" w:w="80"/>
              <w:right w:type="dxa" w:w="100"/>
            </w:tcMar>
          </w:tcPr>
          <w:p>
            <w:r>
              <w:rPr>
                <w:b w:val="false"/>
                <w:bCs w:val="false"/>
                <w:sz w:val="19"/>
                <w:szCs w:val="19"/>
              </w:rPr>
              <w:t xml:space="preserve">Model outputs validated</w:t>
            </w:r>
          </w:p>
        </w:tc>
        <w:tc>
          <w:tcPr>
            <w:tcW w:type="pct" w:w="50%"/>
            <w:tcMar>
              <w:top w:type="dxa" w:w="80"/>
              <w:left w:type="dxa" w:w="100"/>
              <w:bottom w:type="dxa" w:w="80"/>
              <w:right w:type="dxa" w:w="100"/>
            </w:tcMar>
          </w:tcPr>
          <w:p>
            <w:r>
              <w:t>Reconciled to published charts: ROC-AUC ≈ 0.494 for all models; LR recall/precision 0.534/0.513, RF 0.560/0.514, GB 0.854/0.513.</w:t>
            </w:r>
          </w:p>
        </w:tc>
      </w:tr>
      <w:tr>
        <w:tc>
          <w:tcPr>
            <w:tcW w:type="pct" w:w="50%"/>
            <w:tcMar>
              <w:top w:type="dxa" w:w="80"/>
              <w:left w:type="dxa" w:w="100"/>
              <w:bottom w:type="dxa" w:w="80"/>
              <w:right w:type="dxa" w:w="100"/>
            </w:tcMar>
          </w:tcPr>
          <w:p>
            <w:r>
              <w:rPr>
                <w:b w:val="false"/>
                <w:bCs w:val="false"/>
                <w:sz w:val="19"/>
                <w:szCs w:val="19"/>
              </w:rPr>
              <w:t xml:space="preserve">Watchlist validated</w:t>
            </w:r>
          </w:p>
        </w:tc>
        <w:tc>
          <w:tcPr>
            <w:tcW w:type="pct" w:w="50%"/>
            <w:tcMar>
              <w:top w:type="dxa" w:w="80"/>
              <w:left w:type="dxa" w:w="100"/>
              <w:bottom w:type="dxa" w:w="80"/>
              <w:right w:type="dxa" w:w="100"/>
            </w:tcMar>
          </w:tcPr>
          <w:p>
            <w:r>
              <w:rPr>
                <w:b w:val="false"/>
                <w:bCs w:val="false"/>
                <w:sz w:val="19"/>
                <w:szCs w:val="19"/>
              </w:rPr>
              <w:t xml:space="preserve">70,599 rows, zero duplicates, zero missing, probability range sane</w:t>
            </w:r>
          </w:p>
        </w:tc>
      </w:tr>
      <w:tr>
        <w:tc>
          <w:tcPr>
            <w:tcW w:type="pct" w:w="50%"/>
            <w:tcMar>
              <w:top w:type="dxa" w:w="80"/>
              <w:left w:type="dxa" w:w="100"/>
              <w:bottom w:type="dxa" w:w="80"/>
              <w:right w:type="dxa" w:w="100"/>
            </w:tcMar>
          </w:tcPr>
          <w:p>
            <w:r>
              <w:rPr>
                <w:b w:val="false"/>
                <w:bCs w:val="false"/>
                <w:sz w:val="19"/>
                <w:szCs w:val="19"/>
              </w:rPr>
              <w:t xml:space="preserve">Reproducibility</w:t>
            </w:r>
          </w:p>
        </w:tc>
        <w:tc>
          <w:tcPr>
            <w:tcW w:type="pct" w:w="50%"/>
            <w:tcMar>
              <w:top w:type="dxa" w:w="80"/>
              <w:left w:type="dxa" w:w="100"/>
              <w:bottom w:type="dxa" w:w="80"/>
              <w:right w:type="dxa" w:w="100"/>
            </w:tcMar>
          </w:tcPr>
          <w:p>
            <w:r>
              <w:rPr>
                <w:b w:val="false"/>
                <w:bCs w:val="false"/>
                <w:sz w:val="19"/>
                <w:szCs w:val="19"/>
              </w:rPr>
              <w:t xml:space="preserve">Raw table never modified; all scripts preserved; random_state=42 throughout</w:t>
            </w:r>
          </w:p>
        </w:tc>
      </w:tr>
    </w:tbl>
    <w:p>
      <w:pPr>
        <w:pStyle w:val="Heading2"/>
        <w:spacing w:after="150" w:before="300"/>
      </w:pPr>
      <w:r>
        <w:t xml:space="preserve">8.2 Consolidated Limitations</w:t>
      </w:r>
    </w:p>
    <w:p>
      <w:pPr>
        <w:pStyle w:val="ListParagraph"/>
        <w:numPr>
          <w:ilvl w:val="0"/>
          <w:numId w:val="2"/>
        </w:numPr>
        <w:spacing w:after="90"/>
      </w:pPr>
      <w:r>
        <w:t xml:space="preserve">Single 31-day window — insufficient for real monthly/quarterly/seasonal trend analysis.</w:t>
      </w:r>
    </w:p>
    <w:p>
      <w:pPr>
        <w:pStyle w:val="ListParagraph"/>
        <w:numPr>
          <w:ilvl w:val="0"/>
          <w:numId w:val="2"/>
        </w:numPr>
        <w:spacing w:after="90"/>
      </w:pPr>
      <w:r>
        <w:t xml:space="preserve">67.4% of towers have only 1 observation, limiting temporal modeling to the 32.6% with ≥2.</w:t>
      </w:r>
    </w:p>
    <w:p>
      <w:pPr>
        <w:pStyle w:val="ListParagraph"/>
        <w:numPr>
          <w:ilvl w:val="0"/>
          <w:numId w:val="2"/>
        </w:numPr>
        <w:spacing w:after="90"/>
      </w:pPr>
      <w:r>
        <w:t xml:space="preserve">tower_id does not stably map to operator/state/network_type — only city is stable per tower.</w:t>
      </w:r>
    </w:p>
    <w:p>
      <w:pPr>
        <w:pStyle w:val="ListParagraph"/>
        <w:numPr>
          <w:ilvl w:val="0"/>
          <w:numId w:val="2"/>
        </w:numPr>
        <w:spacing w:after="90"/>
      </w:pPr>
      <w:r>
        <w:t xml:space="preserve">city/state are independent, non-hierarchical fields, not real geography.</w:t>
      </w:r>
    </w:p>
    <w:p>
      <w:pPr>
        <w:pStyle w:val="ListParagraph"/>
        <w:numPr>
          <w:ilvl w:val="0"/>
          <w:numId w:val="2"/>
        </w:numPr>
        <w:spacing w:after="90"/>
      </w:pPr>
      <w:r>
        <w:t xml:space="preserve">uptime_percentage is mathematically derived from downtime_minutes — not independent signals.</w:t>
      </w:r>
    </w:p>
    <w:p>
      <w:pPr>
        <w:pStyle w:val="ListParagraph"/>
        <w:numPr>
          <w:ilvl w:val="0"/>
          <w:numId w:val="2"/>
        </w:numPr>
        <w:spacing w:after="90"/>
      </w:pPr>
      <w:r>
        <w:t xml:space="preserve">outage_reason / avg_users_affected&gt;0 are deterministically triggered by downtime_minutes &gt; 72.</w:t>
      </w:r>
    </w:p>
    <w:p>
      <w:pPr>
        <w:pStyle w:val="ListParagraph"/>
        <w:numPr>
          <w:ilvl w:val="0"/>
          <w:numId w:val="2"/>
        </w:numPr>
        <w:spacing w:after="90"/>
      </w:pPr>
      <w:r>
        <w:t xml:space="preserve">No statistically meaningful differentiation found across operator, state, city, network technology, or time.</w:t>
      </w:r>
    </w:p>
    <w:p>
      <w:pPr>
        <w:pStyle w:val="ListParagraph"/>
        <w:numPr>
          <w:ilvl w:val="0"/>
          <w:numId w:val="2"/>
        </w:numPr>
        <w:spacing w:after="90"/>
      </w:pPr>
      <w:r>
        <w:t xml:space="preserve">No predictive signal found from a tower's own history — models perform at chance level.</w:t>
      </w:r>
    </w:p>
    <w:p>
      <w:pPr>
        <w:pStyle w:val="ListParagraph"/>
        <w:numPr>
          <w:ilvl w:val="0"/>
          <w:numId w:val="2"/>
        </w:numPr>
        <w:spacing w:after="90"/>
      </w:pPr>
      <w:r>
        <w:t>A Power BI or HTML dashboard is not included in the current GitHub release. The Python pipeline can export dashboard_data.json for future dashboard development, but the validated portfolio package reviewed here is SQL + Python + CSV outputs + charts + documentation.</w:t>
      </w:r>
    </w:p>
    <w:p>
      <w:r>
        <w:rPr>
          <w:b/>
          <w:sz w:val="26"/>
        </w:rPr>
        <w:t>8.3 Chart Reconciliation</w:t>
      </w:r>
    </w:p>
    <w:p>
      <w:r>
        <w:t>The 14 published PNG charts are the visual evidence layer for this release. Charts 01–12 align with the descriptive, diagnostic, geographic, temporal, correlation, outlier, and customer-impact findings. Charts 13–14 are authoritative for the current model run: Logistic Regression, Random Forest, and Gradient Boosting each have ROC-AUC ≈ 0.494; their recall/precision values are 0.534/0.513, 0.560/0.514, and 0.854/0.513 respectively.</w:t>
      </w:r>
    </w:p>
    <w:p>
      <w:pPr>
        <w:pStyle w:val="Heading1"/>
        <w:spacing w:after="200" w:before="400"/>
      </w:pPr>
      <w:r>
        <w:t xml:space="preserve">9. Project File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pct" w:w="50%"/>
            <w:shd w:fill="E8E4DC" w:val="clear"/>
            <w:tcMar>
              <w:top w:type="dxa" w:w="80"/>
              <w:left w:type="dxa" w:w="100"/>
              <w:bottom w:type="dxa" w:w="80"/>
              <w:right w:type="dxa" w:w="100"/>
            </w:tcMar>
          </w:tcPr>
          <w:p>
            <w:r>
              <w:rPr>
                <w:b/>
                <w:bCs/>
                <w:sz w:val="19"/>
                <w:szCs w:val="19"/>
              </w:rPr>
              <w:t xml:space="preserve">File</w:t>
            </w:r>
          </w:p>
        </w:tc>
        <w:tc>
          <w:tcPr>
            <w:tcW w:type="pct" w:w="50%"/>
            <w:shd w:fill="E8E4DC" w:val="clear"/>
            <w:tcMar>
              <w:top w:type="dxa" w:w="80"/>
              <w:left w:type="dxa" w:w="100"/>
              <w:bottom w:type="dxa" w:w="80"/>
              <w:right w:type="dxa" w:w="100"/>
            </w:tcMar>
          </w:tcPr>
          <w:p>
            <w:r>
              <w:rPr>
                <w:b/>
                <w:bCs/>
                <w:sz w:val="19"/>
                <w:szCs w:val="19"/>
              </w:rPr>
              <w:t xml:space="preserve">Purpose</w:t>
            </w:r>
          </w:p>
        </w:tc>
      </w:tr>
      <w:tr>
        <w:tc>
          <w:tcPr>
            <w:tcW w:type="dxa" w:w="4200"/>
          </w:tcPr>
          <w:p>
            <w:r>
              <w:t>base_station_uptime_logs_clean.csv</w:t>
            </w:r>
          </w:p>
        </w:tc>
        <w:tc>
          <w:tcPr>
            <w:tcW w:type="dxa" w:w="4800"/>
          </w:tcPr>
          <w:p>
            <w:r>
              <w:t>Portfolio input dataset: 100,000 observations, 11 source fields; outage_reason blank on 33,346 no-impact observations.</w:t>
            </w:r>
          </w:p>
        </w:tc>
      </w:tr>
      <w:tr>
        <w:tc>
          <w:tcPr>
            <w:tcW w:type="dxa" w:w="4200"/>
          </w:tcPr>
          <w:p>
            <w:r>
              <w:t>SQL Telecom Outage Analysis.sql</w:t>
            </w:r>
          </w:p>
        </w:tc>
        <w:tc>
          <w:tcPr>
            <w:tcW w:type="dxa" w:w="4800"/>
          </w:tcPr>
          <w:p>
            <w:r>
              <w:t>Full PostgreSQL pipeline: raw load → audit → validation → cleaning → feature engineering → tower aggregation → business analysis → CSV exports.</w:t>
            </w:r>
          </w:p>
        </w:tc>
      </w:tr>
      <w:tr>
        <w:tc>
          <w:tcPr>
            <w:tcW w:type="dxa" w:w="4200"/>
          </w:tcPr>
          <w:p>
            <w:r>
              <w:t>telecom_outage_features.csv</w:t>
            </w:r>
          </w:p>
        </w:tc>
        <w:tc>
          <w:tcPr>
            <w:tcW w:type="dxa" w:w="4800"/>
          </w:tcPr>
          <w:p>
            <w:r>
              <w:t>Python-ready feature dataset: 100,000 rows; aligned with SQL null-preservation logic for outage_reason.</w:t>
            </w:r>
          </w:p>
        </w:tc>
      </w:tr>
      <w:tr>
        <w:tc>
          <w:tcPr>
            <w:tcW w:type="dxa" w:w="4200"/>
          </w:tcPr>
          <w:p>
            <w:r>
              <w:t>telecom_tower_summary.csv</w:t>
            </w:r>
          </w:p>
        </w:tc>
        <w:tc>
          <w:tcPr>
            <w:tcW w:type="dxa" w:w="4800"/>
          </w:tcPr>
          <w:p>
            <w:r>
              <w:t>Tower-level aggregation: 70,599 unique towers, including repeat-outage indicator and reliability measures.</w:t>
            </w:r>
          </w:p>
        </w:tc>
      </w:tr>
      <w:tr>
        <w:tc>
          <w:tcPr>
            <w:tcW w:type="dxa" w:w="4200"/>
          </w:tcPr>
          <w:p>
            <w:r>
              <w:t>Python Outage EDA Modeling.py</w:t>
            </w:r>
          </w:p>
        </w:tc>
        <w:tc>
          <w:tcPr>
            <w:tcW w:type="dxa" w:w="4800"/>
          </w:tcPr>
          <w:p>
            <w:r>
              <w:t>Full Python pipeline: validation, 14 visualizations, leakage-safe modeling, risk scoring, watchlist generation, and optional dashboard-data export.</w:t>
            </w:r>
          </w:p>
        </w:tc>
      </w:tr>
      <w:tr>
        <w:tc>
          <w:tcPr>
            <w:tcW w:type="dxa" w:w="4200"/>
          </w:tcPr>
          <w:p>
            <w:r>
              <w:t>tower_risk_watchlist.csv</w:t>
            </w:r>
          </w:p>
        </w:tc>
        <w:tc>
          <w:tcPr>
            <w:tcW w:type="dxa" w:w="4800"/>
          </w:tcPr>
          <w:p>
            <w:r>
              <w:t>70,599-tower output with rate-based risk score plus experimental model probability/ranking; model-derived ranking is not recommended for operational deployment.</w:t>
            </w:r>
          </w:p>
        </w:tc>
      </w:tr>
      <w:tr>
        <w:tc>
          <w:tcPr>
            <w:tcW w:type="dxa" w:w="4200"/>
          </w:tcPr>
          <w:p>
            <w:r>
              <w:t>charts/01–14 PNG outputs</w:t>
            </w:r>
          </w:p>
        </w:tc>
        <w:tc>
          <w:tcPr>
            <w:tcW w:type="dxa" w:w="4800"/>
          </w:tcPr>
          <w:p>
            <w:r>
              <w:t>Complete EDA, diagnostic, time-series, correlation, outlier, ROC-curve, and confusion-matrix visual set generated by the Python pipeline.</w:t>
            </w:r>
          </w:p>
        </w:tc>
      </w:tr>
      <w:tr>
        <w:tc>
          <w:tcPr>
            <w:tcW w:type="dxa" w:w="4200"/>
          </w:tcPr>
          <w:p>
            <w:r>
              <w:t>Telecom Network Outage Analytics Document.docx</w:t>
            </w:r>
          </w:p>
        </w:tc>
        <w:tc>
          <w:tcPr>
            <w:tcW w:type="dxa" w:w="4800"/>
          </w:tcPr>
          <w:p>
            <w:r>
              <w:t>This document — reconciled methodology, findings, limitations, business answers, and recommendations.</w:t>
            </w:r>
          </w:p>
        </w:tc>
      </w:tr>
      <w:tr>
        <w:tc>
          <w:tcPr>
            <w:tcW w:type="dxa" w:w="4200"/>
          </w:tcPr>
          <w:p>
            <w:r>
              <w:t>charts/01–14 PNG files</w:t>
            </w:r>
          </w:p>
        </w:tc>
        <w:tc>
          <w:tcPr>
            <w:tcW w:type="dxa" w:w="4800"/>
          </w:tcPr>
          <w:p>
            <w:r>
              <w:t>EDA, diagnostic, geographic/time, correlation/outlier, ROC, and confusion-matrix evidence</w:t>
            </w:r>
          </w:p>
        </w:tc>
      </w:tr>
    </w:tbl>
    <w:p>
      <w:pPr>
        <w:spacing w:after="300"/>
      </w:pPr>
      <w:r>
        <w:t xml:space="preserve"/>
      </w:r>
    </w:p>
    <w:p>
      <w:pPr>
        <w:pStyle w:val="Heading1"/>
      </w:pPr>
      <w:r>
        <w:t>Portfolio Release Alignment Note</w:t>
      </w:r>
    </w:p>
    <w:p>
      <w:r>
        <w:t>This release is intentionally dashboard-independent. All numerical claims in this document are tied to the shared SQL/Python pipelines and CSV outputs. The aligned telecom_outage_features.csv restores the 33,346 no-impact outage_reason values to blank/NULL semantics so the exported feature file matches the SQL cleaning rule and the Python root-cause logic. The model-based priority field remains in the watchlist for reproducibility, but it is explicitly experimental because held-out ROC-AUC is approximately 0.49.</w:t>
      </w:r>
    </w:p>
    <w:p>
      <w:pPr>
        <w:jc w:val="center"/>
      </w:pPr>
      <w:r>
        <w:rPr>
          <w:i/>
          <w:iCs/>
          <w:color w:val="5E6C7C"/>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C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6C7C"/>
        <w:sz w:val="16"/>
        <w:szCs w:val="16"/>
      </w:rPr>
      <w:t xml:space="preserve">Telecom Network Outage &amp; Reliability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2532"/>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B9762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F7A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Network Outage Analytics Document</dc:title>
  <dc:creator>Telecom Network Outage &amp; Reliability Analytics Engagement</dc:creator>
  <cp:lastModifiedBy>Un-named</cp:lastModifiedBy>
  <cp:revision>1</cp:revision>
  <dcterms:created xsi:type="dcterms:W3CDTF">2026-09-11T10:55:19.303Z</dcterms:created>
  <dcterms:modified xsi:type="dcterms:W3CDTF">2026-09-11T10:55:19.303Z</dcterms:modified>
</cp:coreProperties>
</file>

<file path=docProps/custom.xml><?xml version="1.0" encoding="utf-8"?>
<Properties xmlns="http://schemas.openxmlformats.org/officeDocument/2006/custom-properties" xmlns:vt="http://schemas.openxmlformats.org/officeDocument/2006/docPropsVTypes"/>
</file>