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1、简述PCM调制的作用和工作过程。</w:t>
      </w:r>
    </w:p>
    <w:p>
      <w:r>
        <w:drawing>
          <wp:inline distT="0" distB="0" distL="114300" distR="114300">
            <wp:extent cx="5267960" cy="1533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PCM的作用</w:t>
      </w:r>
    </w:p>
    <w:p>
      <w:pPr>
        <w:rPr>
          <w:rFonts w:hint="eastAsia"/>
        </w:rPr>
      </w:pPr>
      <w:r>
        <w:rPr>
          <w:rFonts w:hint="eastAsia"/>
        </w:rPr>
        <w:t>脉冲编码调制就是把一个时间连续，取消连续的模拟信号变换成时间离散，取值离散的数字信号后在信道中传输，脉冲编码调制就是对模拟信号先抽样，在对样值幅度量化，编码的过程。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域名解析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解析过程   P177 6.2.3以及例题6-1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【例6-1】请分析用户主机U获得清华主机P的IP地址</w:t>
      </w:r>
      <w:r>
        <w:rPr>
          <w:rFonts w:hint="eastAsia"/>
          <w:sz w:val="24"/>
          <w:szCs w:val="24"/>
          <w:lang w:val="en-US" w:eastAsia="zh-CN"/>
        </w:rPr>
        <w:t>（www.tsinghua.edu.cn）</w:t>
      </w:r>
      <w:r>
        <w:rPr>
          <w:rFonts w:hint="default"/>
          <w:sz w:val="24"/>
          <w:szCs w:val="24"/>
          <w:lang w:val="en-US" w:eastAsia="zh-CN"/>
        </w:rPr>
        <w:t>的解析过程。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U向本地域名服务器DNS1发送查询请求；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如果DNS1上有主机P的记录，就立即将主机P的IP地址返回给U；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如果DNS1上没有主机P的记录，DNS1就会向根域名服务器发出查询请求；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根域名服务器把负责cn域的域名服务器B的IP地址告诉给DNS1；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DNS1向B查询，获得负责edu.cn域的服务器C的地址；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DNS1向C查询，获得负责tsinghua.edu.cn域DNS服务器D的地址；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DNS1向D查询，即可获得www.tsinghua.edu.cn的IP地址；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DNS1把所查询的结果保存在本地，方便下次查询，并把结果告诉用户主机U，完成该域名的解析过程。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交换机</w:t>
      </w:r>
    </w:p>
    <w:p>
      <w:pPr>
        <w:pStyle w:val="4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1）工作原理</w:t>
      </w:r>
    </w:p>
    <w:p>
      <w:pPr>
        <w:pStyle w:val="4"/>
        <w:numPr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交换机根据收到数据帧中的源MAC地址建立该地址同交换机端口的映射，并将其写入MAC地址表中</w:t>
      </w:r>
    </w:p>
    <w:p>
      <w:pPr>
        <w:pStyle w:val="4"/>
        <w:numPr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交换机将数据帧中的目的MAC地址同已经建立的MAC地址表进行比较，以决定由那个端口进行转发。</w:t>
      </w:r>
    </w:p>
    <w:p>
      <w:pPr>
        <w:pStyle w:val="4"/>
        <w:numPr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如数据帧中的目的MAC地址不在MAC地址表中，则向所有端口转发。这一过程称为泛洪；</w:t>
      </w:r>
    </w:p>
    <w:p>
      <w:pPr>
        <w:pStyle w:val="4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广播帧和组播帧向所有的端口转发</w:t>
      </w:r>
    </w:p>
    <w:p>
      <w:pPr>
        <w:pStyle w:val="4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一二三层交换机区别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一层交换机只支持物理层协议(电话程控交换机可以算一个)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二层交换机支持物理层和数据链路层协议,如以太网交换机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三层交换机支持物理层,数据链路层及网络层协议,如某些带路由功能的交换机。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四层交换机它是一种功能，它决定传输不仅仅依据MAC地址(第二层网桥)或源/目标IP地址(第三层路由),而且依据TCP/UDP(第四层) 应用端口号。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传输层协议（UDP、TCP）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UDP：用户数据报协议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 xml:space="preserve"> TCP：传输控制协议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33875" cy="3676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058285" cy="7440930"/>
            <wp:effectExtent l="0" t="0" r="184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74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阿里巴巴普惠体 H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阿里巴巴普惠体 L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E56B75"/>
    <w:multiLevelType w:val="singleLevel"/>
    <w:tmpl w:val="CAE56B7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B713638"/>
    <w:multiLevelType w:val="singleLevel"/>
    <w:tmpl w:val="EB71363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CBE1F48"/>
    <w:multiLevelType w:val="singleLevel"/>
    <w:tmpl w:val="0CBE1F4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12736"/>
    <w:rsid w:val="6E91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2021-06-26T10:58:00Z</dcterms:created>
  <dc:creator>^O^呵哈</dc:creator>
  <cp:lastModifiedBy>^O^呵哈</cp:lastModifiedBy>
  <dcterms:modified xsi:type="dcterms:W3CDTF">2021-06-26T13:09:35Z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632E2E0C43B14CE2899C0CFE51073CBD</vt:lpwstr>
  </property>
</Properties>
</file>