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Methodology and Analysis Plan — Phase 1 Lightweight (USAspending-only)</w:t>
      </w:r>
    </w:p>
    <w:p>
      <w:r>
        <w:rPr>
          <w:b w:val="0"/>
          <w:i/>
        </w:rPr>
        <w:t>Comparing Changes in Federal Financial Assistance to 501(c)(3) Organizations, FY 2022–2025, identified by USAspending business_types_code without IRS BMF cross-reference</w:t>
      </w:r>
    </w:p>
    <w:p>
      <w:r>
        <w:rPr>
          <w:b w:val="0"/>
          <w:i w:val="0"/>
        </w:rPr>
        <w:t>Prepared: May 6, 2026</w:t>
      </w:r>
    </w:p>
    <w:p>
      <w:pPr>
        <w:pStyle w:val="Heading1"/>
      </w:pPr>
      <w:r>
        <w:t>1. Purpose and Research Question</w:t>
      </w:r>
    </w:p>
    <w:p>
      <w:r>
        <w:rPr>
          <w:b w:val="0"/>
          <w:i w:val="0"/>
        </w:rPr>
        <w:t>This document defines a reduced-scope, faster companion to the full FY22–FY25 methodology. The deliverable is a defensible, year-over-year picture of federal financial assistance to 501(c)(3) organizations using only USAspending data — no IRS Business Master File (BMF) cross-reference, no SAM.gov entity extract, no IPEDS / AHA / HRSA / NCES crosswalks. Recipient identification rests on USAspending’s business_types_code field (specifically the 'M' tag), which is agency-reported and inconsistently applied. Phase 1 explicitly accepts that limitation in exchange for substantially shorter runtime and zero external-data dependencies.</w:t>
      </w:r>
    </w:p>
    <w:p>
      <w:r>
        <w:rPr>
          <w:b w:val="0"/>
          <w:i w:val="0"/>
        </w:rPr>
        <w:t>The core question is unchanged: how have federal obligations and outlays to 501(c)(3) recipients changed across FY22, FY23, FY24, and FY25, and what mix of award types, action types, agencies, and programs explains the change?</w:t>
      </w:r>
    </w:p>
    <w:p>
      <w:pPr>
        <w:pStyle w:val="Heading2"/>
      </w:pPr>
      <w:r>
        <w:t>1.1 In-scope deliverables</w:t>
      </w:r>
    </w:p>
    <w:p>
      <w:pPr>
        <w:pStyle w:val="ListBullet"/>
      </w:pPr>
      <w:r>
        <w:t>Topline (Core 501(c)(3)): year-over-year obligation and outlay totals, residual after the carve-outs below.</w:t>
      </w:r>
    </w:p>
    <w:p>
      <w:pPr>
        <w:pStyle w:val="ListBullet"/>
      </w:pPr>
      <w:r>
        <w:t>Panel A — Educational institutions: heuristic-flagged subset, reported as its own panel.</w:t>
      </w:r>
    </w:p>
    <w:p>
      <w:pPr>
        <w:pStyle w:val="ListBullet"/>
      </w:pPr>
      <w:r>
        <w:t>Panel B — Hospitals and primary health: heuristic-flagged subset, reported as its own panel.</w:t>
      </w:r>
    </w:p>
    <w:p>
      <w:pPr>
        <w:pStyle w:val="ListBullet"/>
      </w:pPr>
      <w:r>
        <w:t>Panel C — International programs: same transaction-level rules as the full methodology, less the NTEE Q-series rule.</w:t>
      </w:r>
    </w:p>
    <w:p>
      <w:pPr>
        <w:pStyle w:val="ListBullet"/>
      </w:pPr>
      <w:r>
        <w:t>Decomposition by award type (02–11), action type (A/B/C/D/E), funding agency, CFDA program, recipient state, and recipient size band — within each panel.</w:t>
      </w:r>
    </w:p>
    <w:p>
      <w:pPr>
        <w:pStyle w:val="ListBullet"/>
      </w:pPr>
      <w:r>
        <w:t>Distributional views: number of unique recipients, award size distribution, geographic concentration, agency concentration.</w:t>
      </w:r>
    </w:p>
    <w:p>
      <w:pPr>
        <w:pStyle w:val="ListBullet"/>
      </w:pPr>
      <w:r>
        <w:t>Reproducibility artifacts: query parameters, data refresh dates, source file checksums, M-rule version, exclusion-list version, regex/listing YAML version hashes.</w:t>
      </w:r>
    </w:p>
    <w:p>
      <w:pPr>
        <w:pStyle w:val="ListBullet"/>
      </w:pPr>
      <w:r>
        <w:t>Optional: side-by-side reconciliation exhibit comparing Phase 1 lightweight Topline vs. the BMF-backed Topline by FY (best-effort; populated only when the full pipeline has run in the same project tree).</w:t>
      </w:r>
    </w:p>
    <w:p>
      <w:pPr>
        <w:pStyle w:val="Heading2"/>
      </w:pPr>
      <w:r>
        <w:t>1.2 Out of scope</w:t>
      </w:r>
    </w:p>
    <w:p>
      <w:pPr>
        <w:pStyle w:val="ListBullet"/>
      </w:pPr>
      <w:r>
        <w:t>Federal procurement contracts (FPDS-NG and assistance award_type 'contract').</w:t>
      </w:r>
    </w:p>
    <w:p>
      <w:pPr>
        <w:pStyle w:val="ListBullet"/>
      </w:pPr>
      <w:r>
        <w:t>IRS BMF status verification, foundation-code split, NTEE classification.</w:t>
      </w:r>
    </w:p>
    <w:p>
      <w:pPr>
        <w:pStyle w:val="ListBullet"/>
      </w:pPr>
      <w:r>
        <w:t>SAM.gov entity-resolution / EIN backfill.</w:t>
      </w:r>
    </w:p>
    <w:p>
      <w:pPr>
        <w:pStyle w:val="ListBullet"/>
      </w:pPr>
      <w:r>
        <w:t>Sub-award (FFATA) flows.</w:t>
      </w:r>
    </w:p>
    <w:p>
      <w:pPr>
        <w:pStyle w:val="ListBullet"/>
      </w:pPr>
      <w:r>
        <w:t>Tax expenditures, foundation/private giving, state-only assistance programs.</w:t>
      </w:r>
    </w:p>
    <w:p>
      <w:pPr>
        <w:pStyle w:val="ListBullet"/>
      </w:pPr>
      <w:r>
        <w:t>Point-in-time 501(c)(3) status verification or revocation tracking.</w:t>
      </w:r>
    </w:p>
    <w:p>
      <w:pPr>
        <w:pStyle w:val="Heading1"/>
      </w:pPr>
      <w:r>
        <w:t>2. Data Sources</w:t>
      </w:r>
    </w:p>
    <w:p>
      <w:pPr>
        <w:pStyle w:val="Heading2"/>
      </w:pPr>
      <w:r>
        <w:t>2.1 Single primary source: USAspending.gov</w:t>
      </w:r>
    </w:p>
    <w:p>
      <w:r>
        <w:rPr>
          <w:b w:val="0"/>
          <w:i w:val="0"/>
        </w:rPr>
        <w:t>USAspending.gov is the only authoritative source used in Phase 1. The analysis uses prime-award transactions and prime-award summaries for award_type_codes 02–11, filtered by action_date in FY 2022–2025. Acquisition path is the Award Data Archive (per-agency monthly snapshots at files.usaspending.gov/award_data_archive/) — fast, pre-generated, no API queue. Custom Award Downloads from the /api/v2/bulk_download/awards/ endpoint are reserved for FY25 if freshest-possible in-flight numbers are needed.</w:t>
      </w:r>
    </w:p>
    <w:p>
      <w:r>
        <w:rPr>
          <w:b w:val="0"/>
          <w:i w:val="0"/>
        </w:rPr>
        <w:t>Outlay data come from the prime-award outlay fields populated by File C submissions (cumulative outlay-by-award reported by agencies). FY25 outlays are expected to be undercounted by 1–2 quarters of reporting lag plus the Award Data Archive snapshot lag (~30 days). Both lags are recorded in the run manifest and disclosed prominently in any FY25 figure.</w:t>
      </w:r>
    </w:p>
    <w:p>
      <w:pPr>
        <w:pStyle w:val="Heading2"/>
      </w:pPr>
      <w:r>
        <w:t>2.2 No external crosswalks</w:t>
      </w:r>
    </w:p>
    <w:p>
      <w:r>
        <w:rPr>
          <w:b w:val="0"/>
          <w:i w:val="0"/>
        </w:rPr>
        <w:t>Phase 1 deliberately excludes:</w:t>
      </w:r>
    </w:p>
    <w:p>
      <w:pPr>
        <w:pStyle w:val="ListBullet"/>
      </w:pPr>
      <w:r>
        <w:t>IRS Exempt Organizations Business Master File (EO BMF).</w:t>
      </w:r>
    </w:p>
    <w:p>
      <w:pPr>
        <w:pStyle w:val="ListBullet"/>
      </w:pPr>
      <w:r>
        <w:t>IRS Publication 78 deductible-contributions cross-check.</w:t>
      </w:r>
    </w:p>
    <w:p>
      <w:pPr>
        <w:pStyle w:val="ListBullet"/>
      </w:pPr>
      <w:r>
        <w:t>SAM.gov Entity Registration extract.</w:t>
      </w:r>
    </w:p>
    <w:p>
      <w:pPr>
        <w:pStyle w:val="ListBullet"/>
      </w:pPr>
      <w:r>
        <w:t>USAspending Recipient Profiles beyond what is included in the prime-award data already.</w:t>
      </w:r>
    </w:p>
    <w:p>
      <w:pPr>
        <w:pStyle w:val="ListBullet"/>
      </w:pPr>
      <w:r>
        <w:t>BLS CPI-U series CUUR0000SA0 (used for real-dollar adjustments — this is not a recipient crosswalk and is retained).</w:t>
      </w:r>
    </w:p>
    <w:p>
      <w:pPr>
        <w:pStyle w:val="ListBullet"/>
      </w:pPr>
      <w:r>
        <w:t>OMB GDP price deflator (sensitivity analysis only).</w:t>
      </w:r>
    </w:p>
    <w:p>
      <w:r>
        <w:rPr>
          <w:b w:val="0"/>
          <w:i w:val="0"/>
        </w:rPr>
        <w:t>Without these crosswalks the recipient universe rests on USAspending’s agency-reported business_types_code field. The reader should treat Phase 1 as a directional Phase 1 estimate. The full BMF-backed methodology should be considered the authoritative answer when available; Phase 1’s value is in being fast, reproducible, and free of external-data dependencies.</w:t>
      </w:r>
    </w:p>
    <w:p>
      <w:pPr>
        <w:pStyle w:val="Heading1"/>
      </w:pPr>
      <w:r>
        <w:t>3. Universe Definitions</w:t>
      </w:r>
    </w:p>
    <w:p>
      <w:pPr>
        <w:pStyle w:val="Heading2"/>
      </w:pPr>
      <w:r>
        <w:t>3.1 Transaction filter</w:t>
      </w:r>
    </w:p>
    <w:p>
      <w:r>
        <w:rPr>
          <w:b w:val="0"/>
          <w:i w:val="0"/>
        </w:rPr>
        <w:t>Identical to the full methodology:</w:t>
      </w:r>
    </w:p>
    <w:p>
      <w:pPr>
        <w:pStyle w:val="ListBullet"/>
      </w:pPr>
      <w:r>
        <w:t>award_type_code IN (02, 03, 04, 05, 06, 07, 08, 09, 10, 11) — DAIMS financial-assistance set, no contracts.</w:t>
      </w:r>
    </w:p>
    <w:p>
      <w:pPr>
        <w:pStyle w:val="ListBullet"/>
      </w:pPr>
      <w:r>
        <w:t>action_date BETWEEN 2021-10-01 AND 2025-09-30 inclusive.</w:t>
      </w:r>
    </w:p>
    <w:p>
      <w:pPr>
        <w:pStyle w:val="ListBullet"/>
      </w:pPr>
      <w:r>
        <w:t>Action types A, B, C, D, and any agency-specific E corrections retained, tracked separately so re-obligations and de-obligations are not conflated with new dollars.</w:t>
      </w:r>
    </w:p>
    <w:p>
      <w:pPr>
        <w:pStyle w:val="ListBullet"/>
      </w:pPr>
      <w:r>
        <w:t>Fiscal year defined on action_date (Oct 1 – Sep 30).</w:t>
      </w:r>
    </w:p>
    <w:p>
      <w:pPr>
        <w:pStyle w:val="Heading2"/>
      </w:pPr>
      <w:r>
        <w:t>3.2 Recipient identification — M-with-exclusions (v2)</w:t>
      </w:r>
    </w:p>
    <w:p>
      <w:r>
        <w:rPr>
          <w:b w:val="0"/>
          <w:i w:val="0"/>
        </w:rPr>
        <w:t>A recipient is in scope for the lightweight 501(c)(3) universe if and only if both of the following hold:</w:t>
      </w:r>
    </w:p>
    <w:p>
      <w:r>
        <w:rPr>
          <w:b w:val="0"/>
          <w:i w:val="0"/>
        </w:rPr>
        <w:t xml:space="preserve">  (a) The recipient’s business_types_code includes the letter 'M' (Nonprofit with 501C3 IRS Status, other than an Institution of Higher Education).</w:t>
      </w:r>
    </w:p>
    <w:p>
      <w:r>
        <w:rPr>
          <w:b w:val="0"/>
          <w:i w:val="0"/>
        </w:rPr>
        <w:t xml:space="preserve">  (b) The recipient’s business_types_code does not include any code from the hard-exclusion list below. Codes on the soft-codes list are tolerated — they appear in the recipient’s business_types_set for transparency but do not disqualify.</w:t>
      </w:r>
    </w:p>
    <w:p>
      <w:r>
        <w:rPr>
          <w:b w:val="0"/>
          <w:i w:val="0"/>
        </w:rPr>
        <w:t>Hard-exclusion list (any of these disqualifies a recipient regardless of M presence):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Code</w:t>
            </w:r>
          </w:p>
        </w:tc>
        <w:tc>
          <w:tcPr>
            <w:tcW w:type="dxa" w:w="3120"/>
          </w:tcPr>
          <w:p>
            <w:r>
              <w:rPr>
                <w:b/>
              </w:rPr>
              <w:t>Type</w:t>
            </w:r>
          </w:p>
        </w:tc>
        <w:tc>
          <w:tcPr>
            <w:tcW w:type="dxa" w:w="3120"/>
          </w:tcPr>
          <w:p>
            <w:r>
              <w:rPr>
                <w:b/>
              </w:rPr>
              <w:t>Status</w:t>
            </w:r>
          </w:p>
        </w:tc>
      </w:tr>
      <w:tr>
        <w:tc>
          <w:tcPr>
            <w:tcW w:type="dxa" w:w="3120"/>
          </w:tcPr>
          <w:p>
            <w:r>
              <w:t>A</w:t>
            </w:r>
          </w:p>
        </w:tc>
        <w:tc>
          <w:tcPr>
            <w:tcW w:type="dxa" w:w="3120"/>
          </w:tcPr>
          <w:p>
            <w:r>
              <w:t>State Government</w:t>
            </w:r>
          </w:p>
        </w:tc>
        <w:tc>
          <w:tcPr>
            <w:tcW w:type="dxa" w:w="3120"/>
          </w:tcPr>
          <w:p>
            <w:r>
              <w:t>Hard exclusion</w:t>
            </w:r>
          </w:p>
        </w:tc>
      </w:tr>
      <w:tr>
        <w:tc>
          <w:tcPr>
            <w:tcW w:type="dxa" w:w="3120"/>
          </w:tcPr>
          <w:p>
            <w:r>
              <w:t>B</w:t>
            </w:r>
          </w:p>
        </w:tc>
        <w:tc>
          <w:tcPr>
            <w:tcW w:type="dxa" w:w="3120"/>
          </w:tcPr>
          <w:p>
            <w:r>
              <w:t>County Government</w:t>
            </w:r>
          </w:p>
        </w:tc>
        <w:tc>
          <w:tcPr>
            <w:tcW w:type="dxa" w:w="3120"/>
          </w:tcPr>
          <w:p>
            <w:r>
              <w:t>Hard exclusion</w:t>
            </w:r>
          </w:p>
        </w:tc>
      </w:tr>
      <w:tr>
        <w:tc>
          <w:tcPr>
            <w:tcW w:type="dxa" w:w="3120"/>
          </w:tcPr>
          <w:p>
            <w:r>
              <w:t>C</w:t>
            </w:r>
          </w:p>
        </w:tc>
        <w:tc>
          <w:tcPr>
            <w:tcW w:type="dxa" w:w="3120"/>
          </w:tcPr>
          <w:p>
            <w:r>
              <w:t>City or Township Government</w:t>
            </w:r>
          </w:p>
        </w:tc>
        <w:tc>
          <w:tcPr>
            <w:tcW w:type="dxa" w:w="3120"/>
          </w:tcPr>
          <w:p>
            <w:r>
              <w:t>Hard exclusion</w:t>
            </w:r>
          </w:p>
        </w:tc>
      </w:tr>
      <w:tr>
        <w:tc>
          <w:tcPr>
            <w:tcW w:type="dxa" w:w="3120"/>
          </w:tcPr>
          <w:p>
            <w:r>
              <w:t>D</w:t>
            </w:r>
          </w:p>
        </w:tc>
        <w:tc>
          <w:tcPr>
            <w:tcW w:type="dxa" w:w="3120"/>
          </w:tcPr>
          <w:p>
            <w:r>
              <w:t>Special District Government</w:t>
            </w:r>
          </w:p>
        </w:tc>
        <w:tc>
          <w:tcPr>
            <w:tcW w:type="dxa" w:w="3120"/>
          </w:tcPr>
          <w:p>
            <w:r>
              <w:t>Hard exclusion</w:t>
            </w:r>
          </w:p>
        </w:tc>
      </w:tr>
      <w:tr>
        <w:tc>
          <w:tcPr>
            <w:tcW w:type="dxa" w:w="3120"/>
          </w:tcPr>
          <w:p>
            <w:r>
              <w:t>F</w:t>
            </w:r>
          </w:p>
        </w:tc>
        <w:tc>
          <w:tcPr>
            <w:tcW w:type="dxa" w:w="3120"/>
          </w:tcPr>
          <w:p>
            <w:r>
              <w:t>U.S. Territory or Possession</w:t>
            </w:r>
          </w:p>
        </w:tc>
        <w:tc>
          <w:tcPr>
            <w:tcW w:type="dxa" w:w="3120"/>
          </w:tcPr>
          <w:p>
            <w:r>
              <w:t>Hard exclusion</w:t>
            </w:r>
          </w:p>
        </w:tc>
      </w:tr>
      <w:tr>
        <w:tc>
          <w:tcPr>
            <w:tcW w:type="dxa" w:w="3120"/>
          </w:tcPr>
          <w:p>
            <w:r>
              <w:t>G</w:t>
            </w:r>
          </w:p>
        </w:tc>
        <w:tc>
          <w:tcPr>
            <w:tcW w:type="dxa" w:w="3120"/>
          </w:tcPr>
          <w:p>
            <w:r>
              <w:t>Independent School District</w:t>
            </w:r>
          </w:p>
        </w:tc>
        <w:tc>
          <w:tcPr>
            <w:tcW w:type="dxa" w:w="3120"/>
          </w:tcPr>
          <w:p>
            <w:r>
              <w:t>Hard exclusion</w:t>
            </w:r>
          </w:p>
        </w:tc>
      </w:tr>
      <w:tr>
        <w:tc>
          <w:tcPr>
            <w:tcW w:type="dxa" w:w="3120"/>
          </w:tcPr>
          <w:p>
            <w:r>
              <w:t>H</w:t>
            </w:r>
          </w:p>
        </w:tc>
        <w:tc>
          <w:tcPr>
            <w:tcW w:type="dxa" w:w="3120"/>
          </w:tcPr>
          <w:p>
            <w:r>
              <w:t>Public/State Controlled Institution of Higher Education</w:t>
            </w:r>
          </w:p>
        </w:tc>
        <w:tc>
          <w:tcPr>
            <w:tcW w:type="dxa" w:w="3120"/>
          </w:tcPr>
          <w:p>
            <w:r>
              <w:t>Hard exclusion</w:t>
            </w:r>
          </w:p>
        </w:tc>
      </w:tr>
      <w:tr>
        <w:tc>
          <w:tcPr>
            <w:tcW w:type="dxa" w:w="3120"/>
          </w:tcPr>
          <w:p>
            <w:r>
              <w:t>I</w:t>
            </w:r>
          </w:p>
        </w:tc>
        <w:tc>
          <w:tcPr>
            <w:tcW w:type="dxa" w:w="3120"/>
          </w:tcPr>
          <w:p>
            <w:r>
              <w:t>Indian/Native American Tribal Government (Federally Recognized)</w:t>
            </w:r>
          </w:p>
        </w:tc>
        <w:tc>
          <w:tcPr>
            <w:tcW w:type="dxa" w:w="3120"/>
          </w:tcPr>
          <w:p>
            <w:r>
              <w:t>Hard exclusion</w:t>
            </w:r>
          </w:p>
        </w:tc>
      </w:tr>
      <w:tr>
        <w:tc>
          <w:tcPr>
            <w:tcW w:type="dxa" w:w="3120"/>
          </w:tcPr>
          <w:p>
            <w:r>
              <w:t>J</w:t>
            </w:r>
          </w:p>
        </w:tc>
        <w:tc>
          <w:tcPr>
            <w:tcW w:type="dxa" w:w="3120"/>
          </w:tcPr>
          <w:p>
            <w:r>
              <w:t>Indian/Native American Tribal Government (Other than Federally Recognized)</w:t>
            </w:r>
          </w:p>
        </w:tc>
        <w:tc>
          <w:tcPr>
            <w:tcW w:type="dxa" w:w="3120"/>
          </w:tcPr>
          <w:p>
            <w:r>
              <w:t>Hard exclusion</w:t>
            </w:r>
          </w:p>
        </w:tc>
      </w:tr>
      <w:tr>
        <w:tc>
          <w:tcPr>
            <w:tcW w:type="dxa" w:w="3120"/>
          </w:tcPr>
          <w:p>
            <w:r>
              <w:t>L</w:t>
            </w:r>
          </w:p>
        </w:tc>
        <w:tc>
          <w:tcPr>
            <w:tcW w:type="dxa" w:w="3120"/>
          </w:tcPr>
          <w:p>
            <w:r>
              <w:t>Public/Indian Housing Authority</w:t>
            </w:r>
          </w:p>
        </w:tc>
        <w:tc>
          <w:tcPr>
            <w:tcW w:type="dxa" w:w="3120"/>
          </w:tcPr>
          <w:p>
            <w:r>
              <w:t>Hard exclusion</w:t>
            </w:r>
          </w:p>
        </w:tc>
      </w:tr>
      <w:tr>
        <w:tc>
          <w:tcPr>
            <w:tcW w:type="dxa" w:w="3120"/>
          </w:tcPr>
          <w:p>
            <w:r>
              <w:t>N</w:t>
            </w:r>
          </w:p>
        </w:tc>
        <w:tc>
          <w:tcPr>
            <w:tcW w:type="dxa" w:w="3120"/>
          </w:tcPr>
          <w:p>
            <w:r>
              <w:t>Nonprofit without 501C3 IRS Status (Other than IHE)</w:t>
            </w:r>
          </w:p>
        </w:tc>
        <w:tc>
          <w:tcPr>
            <w:tcW w:type="dxa" w:w="3120"/>
          </w:tcPr>
          <w:p>
            <w:r>
              <w:t>Hard exclusion</w:t>
            </w:r>
          </w:p>
        </w:tc>
      </w:tr>
      <w:tr>
        <w:tc>
          <w:tcPr>
            <w:tcW w:type="dxa" w:w="3120"/>
          </w:tcPr>
          <w:p>
            <w:r>
              <w:t>O</w:t>
            </w:r>
          </w:p>
        </w:tc>
        <w:tc>
          <w:tcPr>
            <w:tcW w:type="dxa" w:w="3120"/>
          </w:tcPr>
          <w:p>
            <w:r>
              <w:t>Private Institution of Higher Education</w:t>
            </w:r>
          </w:p>
        </w:tc>
        <w:tc>
          <w:tcPr>
            <w:tcW w:type="dxa" w:w="3120"/>
          </w:tcPr>
          <w:p>
            <w:r>
              <w:t>Hard exclusion</w:t>
            </w:r>
          </w:p>
        </w:tc>
      </w:tr>
      <w:tr>
        <w:tc>
          <w:tcPr>
            <w:tcW w:type="dxa" w:w="3120"/>
          </w:tcPr>
          <w:p>
            <w:r>
              <w:t>P</w:t>
            </w:r>
          </w:p>
        </w:tc>
        <w:tc>
          <w:tcPr>
            <w:tcW w:type="dxa" w:w="3120"/>
          </w:tcPr>
          <w:p>
            <w:r>
              <w:t>Individual</w:t>
            </w:r>
          </w:p>
        </w:tc>
        <w:tc>
          <w:tcPr>
            <w:tcW w:type="dxa" w:w="3120"/>
          </w:tcPr>
          <w:p>
            <w:r>
              <w:t>Hard exclusion</w:t>
            </w:r>
          </w:p>
        </w:tc>
      </w:tr>
      <w:tr>
        <w:tc>
          <w:tcPr>
            <w:tcW w:type="dxa" w:w="3120"/>
          </w:tcPr>
          <w:p>
            <w:r>
              <w:t>Q</w:t>
            </w:r>
          </w:p>
        </w:tc>
        <w:tc>
          <w:tcPr>
            <w:tcW w:type="dxa" w:w="3120"/>
          </w:tcPr>
          <w:p>
            <w:r>
              <w:t>For-Profit Organization (Other than Small Business)</w:t>
            </w:r>
          </w:p>
        </w:tc>
        <w:tc>
          <w:tcPr>
            <w:tcW w:type="dxa" w:w="3120"/>
          </w:tcPr>
          <w:p>
            <w:r>
              <w:t>Hard exclusion</w:t>
            </w:r>
          </w:p>
        </w:tc>
      </w:tr>
      <w:tr>
        <w:tc>
          <w:tcPr>
            <w:tcW w:type="dxa" w:w="3120"/>
          </w:tcPr>
          <w:p>
            <w:r>
              <w:t>R</w:t>
            </w:r>
          </w:p>
        </w:tc>
        <w:tc>
          <w:tcPr>
            <w:tcW w:type="dxa" w:w="3120"/>
          </w:tcPr>
          <w:p>
            <w:r>
              <w:t>Small Business</w:t>
            </w:r>
          </w:p>
        </w:tc>
        <w:tc>
          <w:tcPr>
            <w:tcW w:type="dxa" w:w="3120"/>
          </w:tcPr>
          <w:p>
            <w:r>
              <w:t>Hard exclusion</w:t>
            </w:r>
          </w:p>
        </w:tc>
      </w:tr>
      <w:tr>
        <w:tc>
          <w:tcPr>
            <w:tcW w:type="dxa" w:w="3120"/>
          </w:tcPr>
          <w:p>
            <w:r>
              <w:t>S</w:t>
            </w:r>
          </w:p>
        </w:tc>
        <w:tc>
          <w:tcPr>
            <w:tcW w:type="dxa" w:w="3120"/>
          </w:tcPr>
          <w:p>
            <w:r>
              <w:t>Hispanic-serving Institution</w:t>
            </w:r>
          </w:p>
        </w:tc>
        <w:tc>
          <w:tcPr>
            <w:tcW w:type="dxa" w:w="3120"/>
          </w:tcPr>
          <w:p>
            <w:r>
              <w:t>Hard exclusion</w:t>
            </w:r>
          </w:p>
        </w:tc>
      </w:tr>
      <w:tr>
        <w:tc>
          <w:tcPr>
            <w:tcW w:type="dxa" w:w="3120"/>
          </w:tcPr>
          <w:p>
            <w:r>
              <w:t>T</w:t>
            </w:r>
          </w:p>
        </w:tc>
        <w:tc>
          <w:tcPr>
            <w:tcW w:type="dxa" w:w="3120"/>
          </w:tcPr>
          <w:p>
            <w:r>
              <w:t>Historically Black College or University (HBCU)</w:t>
            </w:r>
          </w:p>
        </w:tc>
        <w:tc>
          <w:tcPr>
            <w:tcW w:type="dxa" w:w="3120"/>
          </w:tcPr>
          <w:p>
            <w:r>
              <w:t>Hard exclusion</w:t>
            </w:r>
          </w:p>
        </w:tc>
      </w:tr>
      <w:tr>
        <w:tc>
          <w:tcPr>
            <w:tcW w:type="dxa" w:w="3120"/>
          </w:tcPr>
          <w:p>
            <w:r>
              <w:t>U</w:t>
            </w:r>
          </w:p>
        </w:tc>
        <w:tc>
          <w:tcPr>
            <w:tcW w:type="dxa" w:w="3120"/>
          </w:tcPr>
          <w:p>
            <w:r>
              <w:t>Tribally Controlled College or University (TCCU)</w:t>
            </w:r>
          </w:p>
        </w:tc>
        <w:tc>
          <w:tcPr>
            <w:tcW w:type="dxa" w:w="3120"/>
          </w:tcPr>
          <w:p>
            <w:r>
              <w:t>Hard exclusion</w:t>
            </w:r>
          </w:p>
        </w:tc>
      </w:tr>
      <w:tr>
        <w:tc>
          <w:tcPr>
            <w:tcW w:type="dxa" w:w="3120"/>
          </w:tcPr>
          <w:p>
            <w:r>
              <w:t>V</w:t>
            </w:r>
          </w:p>
        </w:tc>
        <w:tc>
          <w:tcPr>
            <w:tcW w:type="dxa" w:w="3120"/>
          </w:tcPr>
          <w:p>
            <w:r>
              <w:t>Alaska Native and Native Hawaiian Serving Institutions</w:t>
            </w:r>
          </w:p>
        </w:tc>
        <w:tc>
          <w:tcPr>
            <w:tcW w:type="dxa" w:w="3120"/>
          </w:tcPr>
          <w:p>
            <w:r>
              <w:t>Hard exclusion</w:t>
            </w:r>
          </w:p>
        </w:tc>
      </w:tr>
      <w:tr>
        <w:tc>
          <w:tcPr>
            <w:tcW w:type="dxa" w:w="3120"/>
          </w:tcPr>
          <w:p>
            <w:r>
              <w:t>W</w:t>
            </w:r>
          </w:p>
        </w:tc>
        <w:tc>
          <w:tcPr>
            <w:tcW w:type="dxa" w:w="3120"/>
          </w:tcPr>
          <w:p>
            <w:r>
              <w:t>Non-domestic (non-U.S.) Entity</w:t>
            </w:r>
          </w:p>
        </w:tc>
        <w:tc>
          <w:tcPr>
            <w:tcW w:type="dxa" w:w="3120"/>
          </w:tcPr>
          <w:p>
            <w:r>
              <w:t>Hard exclusion</w:t>
            </w:r>
          </w:p>
        </w:tc>
      </w:tr>
    </w:tbl>
    <w:p>
      <w:r>
        <w:rPr>
          <w:b w:val="0"/>
          <w:i w:val="0"/>
        </w:rPr>
        <w:t>Soft-codes list (tolerated when co-occurring with M):</w:t>
      </w:r>
    </w:p>
    <w:tbl>
      <w:tblPr>
        <w:tblStyle w:val="LightGrid-Accent1"/>
        <w:tblW w:type="auto" w:w="0"/>
        <w:tblLook w:firstColumn="1" w:firstRow="1" w:lastColumn="0" w:lastRow="0" w:noHBand="0" w:noVBand="1" w:val="04A0"/>
      </w:tblPr>
      <w:tblGrid>
        <w:gridCol w:w="4680"/>
        <w:gridCol w:w="4680"/>
      </w:tblGrid>
      <w:tr>
        <w:tc>
          <w:tcPr>
            <w:tcW w:type="dxa" w:w="4680"/>
          </w:tcPr>
          <w:p>
            <w:r>
              <w:rPr>
                <w:b/>
              </w:rPr>
              <w:t>Code</w:t>
            </w:r>
          </w:p>
        </w:tc>
        <w:tc>
          <w:tcPr>
            <w:tcW w:type="dxa" w:w="4680"/>
          </w:tcPr>
          <w:p>
            <w:r>
              <w:rPr>
                <w:b/>
              </w:rPr>
              <w:t>Type</w:t>
            </w:r>
          </w:p>
        </w:tc>
      </w:tr>
      <w:tr>
        <w:tc>
          <w:tcPr>
            <w:tcW w:type="dxa" w:w="4680"/>
          </w:tcPr>
          <w:p>
            <w:r>
              <w:t>X</w:t>
            </w:r>
          </w:p>
        </w:tc>
        <w:tc>
          <w:tcPr>
            <w:tcW w:type="dxa" w:w="4680"/>
          </w:tcPr>
          <w:p>
            <w:r>
              <w:t>Other (informational; does not contradict 501(c)(3) status)</w:t>
            </w:r>
          </w:p>
        </w:tc>
      </w:tr>
    </w:tbl>
    <w:p>
      <w:r>
        <w:rPr>
          <w:b w:val="0"/>
          <w:i w:val="0"/>
        </w:rPr>
        <w:t>Codes E (Regional Organization) and K (Indian/Native American Tribally Designated Organization) are not on either list; they may freely co-occur with M without affecting in-scope status.</w:t>
      </w:r>
    </w:p>
    <w:p>
      <w:r>
        <w:rPr>
          <w:b w:val="0"/>
          <w:i w:val="0"/>
        </w:rPr>
        <w:t>Why X is soft (v2 change). Code X = 'Other' is the noisiest tag in the SF-424 vocabulary. Unlike Q (for-profit), A (state government), or N (non-501(c)(3) nonprofit), the X tag does not contradict 501(c)(3) status — it simply records that an agency typed 'Other' alongside M, usually because the agency lacked a more specific code. Real-data testing on FY24 (5.2M transactions) found that the v1 strict rule (treating X as a hard exclusion) wrongly disqualified ~3,663 recipients including ALIVIO MEDICAL CENTER, CHRISTUS SANTA ROSA HEALTH CARE CORPORATION, and EMMA PENDLETON BRADLEY HOSPITAL — all verified 501(c)(3) entities under their canonical legal name. v2 tolerates the M+X combination while keeping all other exclusions intact, recovering ~25% of the in-scope set in FY24 (14,838 → 18,501) without admitting any of the genuine non-501(c)(3) recipients caught by the hard-exclusion checks.</w:t>
      </w:r>
    </w:p>
    <w:p>
      <w:r>
        <w:rPr>
          <w:b w:val="0"/>
          <w:i w:val="0"/>
        </w:rPr>
        <w:t>Recipient grain. The rule is applied at the recipient level (distinct UEI), not the transaction level. A recipient’s business-types set is the union across every transaction the recipient appears on within the FY22–FY25 window. This handles agencies that under-tag: if Agency A reports the recipient as 'M' on one transaction and Agency B reports the same recipient as 'M, X' on another, the union is 'M, X' and the recipient is ineligible.</w:t>
      </w:r>
    </w:p>
    <w:p>
      <w:r>
        <w:rPr>
          <w:b w:val="0"/>
          <w:i w:val="0"/>
        </w:rPr>
        <w:t>Edge cases. Empty business_types_code, missing field, or whitespace-only values are treated as 'M not present' and the recipient is excluded. Codes that are not single uppercase letters from the SF-424 set are ignored. Lowercase tags are normalized to uppercase before evaluation.</w:t>
      </w:r>
    </w:p>
    <w:p>
      <w:pPr>
        <w:pStyle w:val="Heading2"/>
      </w:pPr>
      <w:r>
        <w:t>3.3 Time definitions</w:t>
      </w:r>
    </w:p>
    <w:p>
      <w:pPr>
        <w:pStyle w:val="ListBullet"/>
      </w:pPr>
      <w:r>
        <w:t>Fiscal Year: U.S. Federal FY (Oct 1 – Sep 30), assigned from action_date.</w:t>
      </w:r>
    </w:p>
    <w:p>
      <w:pPr>
        <w:pStyle w:val="ListBullet"/>
      </w:pPr>
      <w:r>
        <w:t>Snapshot date: the Award Data Archive snapshot date, recorded per-file in the run manifest.</w:t>
      </w:r>
    </w:p>
    <w:p>
      <w:pPr>
        <w:pStyle w:val="ListBullet"/>
      </w:pPr>
      <w:r>
        <w:t>Outlay reporting lag: FY25 outlays are reported as a floor; sensitivity row showing FY24 reported one year ago vs. today is included as a calibration.</w:t>
      </w:r>
    </w:p>
    <w:p>
      <w:pPr>
        <w:pStyle w:val="Heading1"/>
      </w:pPr>
      <w:r>
        <w:t>4. Panel Segmentation</w:t>
      </w:r>
    </w:p>
    <w:p>
      <w:r>
        <w:rPr>
          <w:b w:val="0"/>
          <w:i w:val="0"/>
        </w:rPr>
        <w:t>Phase 1 retains the four-panel structure (Topline_Core, Educational, Hospital, International) and the priority hierarchy (International &gt; Hospital &gt; Educational &gt; Core) from the full methodology. Because USAspending business_types_code already excludes all institutions of higher education from the in-scope set (codes H, O, T, U), and provides no direct hospital tag, the Educational and Hospital panels rely on heuristic identification rules described below.</w:t>
      </w:r>
    </w:p>
    <w:p>
      <w:pPr>
        <w:pStyle w:val="Heading2"/>
      </w:pPr>
      <w:r>
        <w:t>4.1 Mutually exclusive priority hierarchy</w:t>
      </w:r>
    </w:p>
    <w:p>
      <w:pPr>
        <w:pStyle w:val="ListNumber"/>
      </w:pPr>
      <w:r>
        <w:t>International programs — transaction-level (place of performance, funding agency, or assistance listing). Same rules as full methodology Section 4.4, less the NTEE Q-series rule.</w:t>
      </w:r>
    </w:p>
    <w:p>
      <w:pPr>
        <w:pStyle w:val="ListNumber"/>
      </w:pPr>
      <w:r>
        <w:t>Hospitals and primary health — heuristic identification at the recipient level. Applied only if the transaction is not International.</w:t>
      </w:r>
    </w:p>
    <w:p>
      <w:pPr>
        <w:pStyle w:val="ListNumber"/>
      </w:pPr>
      <w:r>
        <w:t>Educational institutions — narrow heuristic identification. Applied only if the transaction is neither International nor Hospital.</w:t>
      </w:r>
    </w:p>
    <w:p>
      <w:pPr>
        <w:pStyle w:val="ListNumber"/>
      </w:pPr>
      <w:r>
        <w:t>Core 501(c)(3) — the residual. This is the topline.</w:t>
      </w:r>
    </w:p>
    <w:p>
      <w:r>
        <w:rPr>
          <w:b w:val="0"/>
          <w:i w:val="0"/>
        </w:rPr>
        <w:t>The hierarchy is configurable in the run manifest; the default is above. Users who prefer recipient-only-type classification can re-run with the alternate hierarchy.</w:t>
      </w:r>
    </w:p>
    <w:p>
      <w:pPr>
        <w:pStyle w:val="Heading2"/>
      </w:pPr>
      <w:r>
        <w:t>4.2 International (Panel C)</w:t>
      </w:r>
    </w:p>
    <w:p>
      <w:r>
        <w:rPr>
          <w:b w:val="0"/>
          <w:i w:val="0"/>
        </w:rPr>
        <w:t>A transaction is classified International if any of the following holds:</w:t>
      </w:r>
    </w:p>
    <w:p>
      <w:pPr>
        <w:pStyle w:val="ListBullet"/>
      </w:pPr>
      <w:r>
        <w:t>primary_place_of_performance_country_code is not 'USA' (and not in the 50 states, DC, or U.S. territories list — territories reported in a separate sub-cut).</w:t>
      </w:r>
    </w:p>
    <w:p>
      <w:pPr>
        <w:pStyle w:val="ListBullet"/>
      </w:pPr>
      <w:r>
        <w:t>awarding_sub_agency in the curated international set: USAID (all bureaus), Department of State (PRM, INL, DRL, EUR, AF, NEA, EAP, WHA, SCA, ISN, OES, J/TIP, CT, GEC), Millennium Challenge Corporation, Inter-American Foundation, U.S. African Development Foundation, U.S. Institute of Peace, U.S. Agency for Global Media, Peace Corps, U.S. Trade and Development Agency, Development Finance Corporation.</w:t>
      </w:r>
    </w:p>
    <w:p>
      <w:pPr>
        <w:pStyle w:val="ListBullet"/>
      </w:pPr>
      <w:r>
        <w:t>assistance_listing_number prefix in {19., 98., 85.} or in the curated explicit list (selected HHS/CDC global health listings such as 93.067 Global AIDS Program, 93.318 PEPFAR-related, 93.808 Cooperative Agreements with International Partners).</w:t>
      </w:r>
    </w:p>
    <w:p>
      <w:r>
        <w:rPr>
          <w:b w:val="0"/>
          <w:i w:val="0"/>
        </w:rPr>
        <w:t>The full methodology’s NTEE Q-series rule is dropped (no NTEE access in Phase 1). Limitation: an international NGO receiving a domestically-listed transaction will not be flagged international. This is accepted as a documented Phase 1 trade-off; the full methodology should be used when this distinction matters.</w:t>
      </w:r>
    </w:p>
    <w:p>
      <w:r>
        <w:rPr>
          <w:b w:val="0"/>
          <w:i w:val="0"/>
        </w:rPr>
        <w:t>Sub-cuts within Panel C (same as full methodology):</w:t>
      </w:r>
    </w:p>
    <w:p>
      <w:pPr>
        <w:pStyle w:val="ListBullet"/>
      </w:pPr>
      <w:r>
        <w:t>humanitarian (BHA, PRM, OFDA-successor)</w:t>
      </w:r>
    </w:p>
    <w:p>
      <w:pPr>
        <w:pStyle w:val="ListBullet"/>
      </w:pPr>
      <w:r>
        <w:t>global health (PEPFAR, PMI, Global Fund, USAID Bureau for Global Health)</w:t>
      </w:r>
    </w:p>
    <w:p>
      <w:pPr>
        <w:pStyle w:val="ListBullet"/>
      </w:pPr>
      <w:r>
        <w:t>economic / governance / democracy (USAID DCHA-successor, State DRL, MCC)</w:t>
      </w:r>
    </w:p>
    <w:p>
      <w:pPr>
        <w:pStyle w:val="ListBullet"/>
      </w:pPr>
      <w:r>
        <w:t>security / counter-narcotics (State INL, PM)</w:t>
      </w:r>
    </w:p>
    <w:p>
      <w:pPr>
        <w:pStyle w:val="ListBullet"/>
      </w:pPr>
      <w:r>
        <w:t>education-and-research (USAID, State ECA)</w:t>
      </w:r>
    </w:p>
    <w:p>
      <w:pPr>
        <w:pStyle w:val="ListBullet"/>
      </w:pPr>
      <w:r>
        <w:t>other (residual within International)</w:t>
      </w:r>
    </w:p>
    <w:p>
      <w:r>
        <w:rPr>
          <w:b w:val="0"/>
          <w:i w:val="0"/>
        </w:rPr>
        <w:t>U.S. vs foreign prime recipient: same split as the full methodology — based on recipient_state_code presence (US two-letter state code implies U.S. prime, otherwise foreign prime).</w:t>
      </w:r>
    </w:p>
    <w:p>
      <w:pPr>
        <w:pStyle w:val="Heading2"/>
      </w:pPr>
      <w:r>
        <w:t>4.3 Hospitals and primary health (Panel B)</w:t>
      </w:r>
    </w:p>
    <w:p>
      <w:r>
        <w:rPr>
          <w:b w:val="0"/>
          <w:i w:val="0"/>
        </w:rPr>
        <w:t>Heuristic identification because business_types_code does not include a hospital tag. A recipient is classified Hospital if any of the following holds (applied only if not already classified International):</w:t>
      </w:r>
    </w:p>
    <w:p>
      <w:pPr>
        <w:pStyle w:val="ListBullet"/>
      </w:pPr>
      <w:r>
        <w:t>Recipient name regex match (case-insensitive, applied to the canonical-normalized recipient name): \b(hospital|medical center|health system|cancer center|childrens hospital|academic medical center|teaching hospital)\b. Pattern set is version-pinned in reference_lists/hospital_name_patterns.yaml.</w:t>
      </w:r>
    </w:p>
    <w:p>
      <w:pPr>
        <w:pStyle w:val="ListBullet"/>
      </w:pPr>
      <w:r>
        <w:t>Awarding sub-agency = HRSA AND assistance_listing_number in the curated FQHC set (93.224 Health Center Program; 93.527 Grants for New and Expanded Services under the Health Center Program; 93.116 TB outreach; plus the curated set in reference_lists/hospital_listings.yaml).</w:t>
      </w:r>
    </w:p>
    <w:p>
      <w:pPr>
        <w:pStyle w:val="ListBullet"/>
      </w:pPr>
      <w:r>
        <w:t>Assistance listing in the curated hospital-grant set (93.310 Trans-NIH Research; 93.351 NIH research grants; 93.288 NHSC Scholarship Program; full list in YAML).</w:t>
      </w:r>
    </w:p>
    <w:p>
      <w:r>
        <w:rPr>
          <w:b w:val="0"/>
          <w:i w:val="0"/>
        </w:rPr>
        <w:t>Sub-cuts within Panel B:</w:t>
      </w:r>
    </w:p>
    <w:p>
      <w:pPr>
        <w:pStyle w:val="ListBullet"/>
      </w:pPr>
      <w:r>
        <w:t>general / specialty hospital (name-flag without HRSA/listing flag)</w:t>
      </w:r>
    </w:p>
    <w:p>
      <w:pPr>
        <w:pStyle w:val="ListBullet"/>
      </w:pPr>
      <w:r>
        <w:t>FQHC / community clinic (HRSA + listing flag)</w:t>
      </w:r>
    </w:p>
    <w:p>
      <w:pPr>
        <w:pStyle w:val="ListBullet"/>
      </w:pPr>
      <w:r>
        <w:t>research hospital (NIH listing flag)</w:t>
      </w:r>
    </w:p>
    <w:p>
      <w:pPr>
        <w:pStyle w:val="ListBullet"/>
      </w:pPr>
      <w:r>
        <w:t>other primary care (residual)</w:t>
      </w:r>
    </w:p>
    <w:p>
      <w:r>
        <w:rPr>
          <w:b w:val="0"/>
          <w:i w:val="0"/>
        </w:rPr>
        <w:t>Methodology weakness: name-based heuristics over-include orgs whose names contain 'Hospital' or 'Medical Center' but are something else (fundraising affiliates, advocacy groups). Mandatory mitigation: 200-row random-sample manual precision audit (Section 8.2), target precision &gt;= 90%. Reviewer log is part of the run manifest and enumerates boundary cases.</w:t>
      </w:r>
    </w:p>
    <w:p>
      <w:pPr>
        <w:pStyle w:val="Heading2"/>
      </w:pPr>
      <w:r>
        <w:t>4.4 Educational institutions (Panel A)</w:t>
      </w:r>
    </w:p>
    <w:p>
      <w:r>
        <w:rPr>
          <w:b w:val="0"/>
          <w:i w:val="0"/>
        </w:rPr>
        <w:t>Most educational institutions are already removed from the in-scope set by the M-with-exclusions rule (codes H, O, T, U, S, V; G is also excluded). The only educational organizations that remain are 501(c)(3) nonprofits whose primary mission is educational but who do not register as institutions of higher education. The Educational panel is therefore narrow by construction.</w:t>
      </w:r>
    </w:p>
    <w:p>
      <w:r>
        <w:rPr>
          <w:b w:val="0"/>
          <w:i w:val="0"/>
        </w:rPr>
        <w:t>A recipient (not already classified International or Hospital) is classified Educational if any of the following holds:</w:t>
      </w:r>
    </w:p>
    <w:p>
      <w:pPr>
        <w:pStyle w:val="ListBullet"/>
      </w:pPr>
      <w:r>
        <w:t>Recipient name regex match: \b(charter school|academy|education foundation|education fund|public school)\b. Patterns versioned in reference_lists/educational_name_patterns.yaml.</w:t>
      </w:r>
    </w:p>
    <w:p>
      <w:pPr>
        <w:pStyle w:val="ListBullet"/>
      </w:pPr>
      <w:r>
        <w:t>Recipient name match \b(institute of|research foundation|research institute)\b AND awarding_agency in {National Science Foundation, National Institutes of Health, Department of Health and Human Services, Department of Education}.</w:t>
      </w:r>
    </w:p>
    <w:p>
      <w:r>
        <w:rPr>
          <w:b w:val="0"/>
          <w:i w:val="0"/>
        </w:rPr>
        <w:t>Sub-cuts within Panel A: collapsed relative to the full methodology — only one figure per FY (Educational total), with optional sub-cut by name-flag pattern. The full methodology’s public/private 4-yr/2-yr breakdown requires IPEDS and is not available.</w:t>
      </w:r>
    </w:p>
    <w:p>
      <w:r>
        <w:rPr>
          <w:b w:val="0"/>
          <w:i w:val="0"/>
        </w:rPr>
        <w:t>Methodology weakness: many true 501(c)(3) educational nonprofits will not match these patterns; many non-educational orgs (e.g., trade associations with 'Institute' in the name) will. Same precision-audit mitigation as Hospital (200-row random sample, target precision &gt;= 90%, reviewer log retained).</w:t>
      </w:r>
    </w:p>
    <w:p>
      <w:pPr>
        <w:pStyle w:val="Heading2"/>
      </w:pPr>
      <w:r>
        <w:t>4.5 Topline_Core</w:t>
      </w:r>
    </w:p>
    <w:p>
      <w:r>
        <w:rPr>
          <w:b w:val="0"/>
          <w:i w:val="0"/>
        </w:rPr>
        <w:t>Residual after the three carve-outs above. This is the headline number quoted in any Phase 1 summary.</w:t>
      </w:r>
    </w:p>
    <w:p>
      <w:pPr>
        <w:pStyle w:val="Heading2"/>
      </w:pPr>
      <w:r>
        <w:t>4.6 Curated lists and version control</w:t>
      </w:r>
    </w:p>
    <w:p>
      <w:r>
        <w:rPr>
          <w:b w:val="0"/>
          <w:i w:val="0"/>
        </w:rPr>
        <w:t>Every reference list is stored under reference_lists/ as version-pinned YAML and the combined SHA-256 is recorded in the run manifest. The list of files used by Phase 1:</w:t>
      </w:r>
    </w:p>
    <w:p>
      <w:pPr>
        <w:pStyle w:val="ListBullet"/>
      </w:pPr>
      <w:r>
        <w:t>business_types_lightweight.yaml — the M-required tag and the exclusion list.</w:t>
      </w:r>
    </w:p>
    <w:p>
      <w:pPr>
        <w:pStyle w:val="ListBullet"/>
      </w:pPr>
      <w:r>
        <w:t>intl_subagencies.yaml — same as full methodology.</w:t>
      </w:r>
    </w:p>
    <w:p>
      <w:pPr>
        <w:pStyle w:val="ListBullet"/>
      </w:pPr>
      <w:r>
        <w:t>intl_listings.yaml — same as full methodology.</w:t>
      </w:r>
    </w:p>
    <w:p>
      <w:pPr>
        <w:pStyle w:val="ListBullet"/>
      </w:pPr>
      <w:r>
        <w:t>intl_subcategory_rules.yaml — same as full methodology.</w:t>
      </w:r>
    </w:p>
    <w:p>
      <w:pPr>
        <w:pStyle w:val="ListBullet"/>
      </w:pPr>
      <w:r>
        <w:t>hospital_listings.yaml — curated assistance-listing set for the Hospital flag.</w:t>
      </w:r>
    </w:p>
    <w:p>
      <w:pPr>
        <w:pStyle w:val="ListBullet"/>
      </w:pPr>
      <w:r>
        <w:t>hospital_name_patterns.yaml — regex patterns for hospital name detection.</w:t>
      </w:r>
    </w:p>
    <w:p>
      <w:pPr>
        <w:pStyle w:val="ListBullet"/>
      </w:pPr>
      <w:r>
        <w:t>educational_name_patterns.yaml — regex patterns for educational name detection.</w:t>
      </w:r>
    </w:p>
    <w:p>
      <w:pPr>
        <w:pStyle w:val="ListBullet"/>
      </w:pPr>
      <w:r>
        <w:t>covid_programs.yaml — same as full methodology.</w:t>
      </w:r>
    </w:p>
    <w:p>
      <w:pPr>
        <w:pStyle w:val="Heading2"/>
      </w:pPr>
      <w:r>
        <w:t>4.7 Manual review</w:t>
      </w:r>
    </w:p>
    <w:p>
      <w:r>
        <w:rPr>
          <w:b w:val="0"/>
          <w:i w:val="0"/>
        </w:rPr>
        <w:t>Two layers of manual review are required:</w:t>
      </w:r>
    </w:p>
    <w:p>
      <w:pPr>
        <w:pStyle w:val="ListNumber"/>
      </w:pPr>
      <w:r>
        <w:t>Top 50 recipients in each of the four panels, ranked by total FY22–FY25 obligated dollars, are reviewed by hand against IRS Tax-Exempt Organization Search and the recipient’s website to confirm the M tag is correct and the panel assignment is plausible. Reviewer notes for the top 25 boundary cases.</w:t>
      </w:r>
    </w:p>
    <w:p>
      <w:pPr>
        <w:pStyle w:val="ListNumber"/>
      </w:pPr>
      <w:r>
        <w:t>200-row random sample of heuristic-flagged Hospital recipients and 200-row random sample of heuristic-flagged Educational recipients, reviewed by hand. Target precision &gt;= 90% per panel. False positives downgrade the carve-out flag (recipient moves to Topline_Core); false negatives are accepted as residual measurement error.</w:t>
      </w:r>
    </w:p>
    <w:p>
      <w:r>
        <w:rPr>
          <w:b w:val="0"/>
          <w:i w:val="0"/>
        </w:rPr>
        <w:t>Reviewer log is part of the run manifest.</w:t>
      </w:r>
    </w:p>
    <w:p>
      <w:pPr>
        <w:pStyle w:val="Heading1"/>
      </w:pPr>
      <w:r>
        <w:t>5. Identification Procedure</w:t>
      </w:r>
    </w:p>
    <w:p>
      <w:r>
        <w:rPr>
          <w:b w:val="0"/>
          <w:i w:val="0"/>
        </w:rPr>
        <w:t>The identification step is the analog of Section 5 in the full methodology, simplified because no fuzzy matching or external-source join is required.</w:t>
      </w:r>
    </w:p>
    <w:p>
      <w:pPr>
        <w:pStyle w:val="Heading2"/>
      </w:pPr>
      <w:r>
        <w:t>5.1 Inputs</w:t>
      </w:r>
    </w:p>
    <w:p>
      <w:pPr>
        <w:pStyle w:val="ListBullet"/>
      </w:pPr>
      <w:r>
        <w:t>usaspending_recipients: distinct (recipient_uei, recipient_name, recipient_state_code, business_types_code) keys observed in the FY22–FY25 transaction pull.</w:t>
      </w:r>
    </w:p>
    <w:p>
      <w:pPr>
        <w:pStyle w:val="ListBullet"/>
      </w:pPr>
      <w:r>
        <w:t>M-rule and exclusion-list YAML at reference_lists/business_types_lightweight.yaml.</w:t>
      </w:r>
    </w:p>
    <w:p>
      <w:pPr>
        <w:pStyle w:val="Heading2"/>
      </w:pPr>
      <w:r>
        <w:t>5.2 Identification steps</w:t>
      </w:r>
    </w:p>
    <w:p>
      <w:pPr>
        <w:pStyle w:val="ListNumber"/>
      </w:pPr>
      <w:r>
        <w:t>Build the recipient-grain business-types set: per UEI, take the set union of every business_types_code value seen across the transaction pull. Normalize to uppercase single letters; drop unknown tokens.</w:t>
      </w:r>
    </w:p>
    <w:p>
      <w:pPr>
        <w:pStyle w:val="ListNumber"/>
      </w:pPr>
      <w:r>
        <w:t>Apply the M-with-exclusions rule: include UEI iff 'M' ∈ codes AND codes ∩ exclusion_list = ∅.</w:t>
      </w:r>
    </w:p>
    <w:p>
      <w:pPr>
        <w:pStyle w:val="ListNumber"/>
      </w:pPr>
      <w:r>
        <w:t>Persist the resulting recipient_filter table with one row per (uei, business_types_set, in_scope_flag, exclusion_reason).</w:t>
      </w:r>
    </w:p>
    <w:p>
      <w:pPr>
        <w:pStyle w:val="Heading2"/>
      </w:pPr>
      <w:r>
        <w:t>5.3 Identification QA</w:t>
      </w:r>
    </w:p>
    <w:p>
      <w:pPr>
        <w:pStyle w:val="ListBullet"/>
      </w:pPr>
      <w:r>
        <w:t>Coverage by FY: how many distinct recipients pass the M-rule per FY; share of total assistance dollars they represent.</w:t>
      </w:r>
    </w:p>
    <w:p>
      <w:pPr>
        <w:pStyle w:val="ListBullet"/>
      </w:pPr>
      <w:r>
        <w:t>Co-tag distribution: among M-tagged in-scope recipients, what other tags co-occur (E, K, none) and at what dollar share.</w:t>
      </w:r>
    </w:p>
    <w:p>
      <w:pPr>
        <w:pStyle w:val="ListBullet"/>
      </w:pPr>
      <w:r>
        <w:t>Excluded-but-M-tagged: count of recipients tagged M but disqualified, by exclusion code; helps surface large-dollar misclassifications worth a manual override.</w:t>
      </w:r>
    </w:p>
    <w:p>
      <w:pPr>
        <w:pStyle w:val="ListBullet"/>
      </w:pPr>
      <w:r>
        <w:t>Year-to-year stability: how many in-scope UEIs persist across FYs vs. churn in/out (a signal of M-tagging consistency).</w:t>
      </w:r>
    </w:p>
    <w:p>
      <w:pPr>
        <w:pStyle w:val="Heading1"/>
      </w:pPr>
      <w:r>
        <w:t>6. Metric Definitions</w:t>
      </w:r>
    </w:p>
    <w:p>
      <w:pPr>
        <w:pStyle w:val="Heading2"/>
      </w:pPr>
      <w:r>
        <w:t>6.1 Obligations</w:t>
      </w:r>
    </w:p>
    <w:p>
      <w:r>
        <w:rPr>
          <w:b w:val="0"/>
          <w:i w:val="0"/>
        </w:rPr>
        <w:t>federal_action_obligation summed by FY × dimension. Positive (new obligation, modification adding funds) and negative (de-obligation) are reported separately so users can distinguish gross outflow from net commitment. De-obligations are not netted out of the headline.</w:t>
      </w:r>
    </w:p>
    <w:p>
      <w:pPr>
        <w:pStyle w:val="Heading2"/>
      </w:pPr>
      <w:r>
        <w:t>6.2 Outlays</w:t>
      </w:r>
    </w:p>
    <w:p>
      <w:r>
        <w:rPr>
          <w:b w:val="0"/>
          <w:i w:val="0"/>
        </w:rPr>
        <w:t>total_outlayed_amount_for_overall_award is the cumulative outlay reported by the awarding agency for the full life of the prime award. Allocated to the FY of the award’s earliest action_date (award-vintage FY), identical to the full methodology. Parallel cut by FY of latest reported outlay where the data permit.</w:t>
      </w:r>
    </w:p>
    <w:p>
      <w:pPr>
        <w:pStyle w:val="Heading2"/>
      </w:pPr>
      <w:r>
        <w:t>6.3 Counts and distributional metrics</w:t>
      </w:r>
    </w:p>
    <w:p>
      <w:pPr>
        <w:pStyle w:val="ListBullet"/>
      </w:pPr>
      <w:r>
        <w:t>Transactions per FY (count of rows in the prime award transactions pull).</w:t>
      </w:r>
    </w:p>
    <w:p>
      <w:pPr>
        <w:pStyle w:val="ListBullet"/>
      </w:pPr>
      <w:r>
        <w:t>Unique prime awards per FY (distinct award_id_unique).</w:t>
      </w:r>
    </w:p>
    <w:p>
      <w:pPr>
        <w:pStyle w:val="ListBullet"/>
      </w:pPr>
      <w:r>
        <w:t>Unique recipients per FY (distinct in-scope UEI).</w:t>
      </w:r>
    </w:p>
    <w:p>
      <w:pPr>
        <w:pStyle w:val="ListBullet"/>
      </w:pPr>
      <w:r>
        <w:t>Obligation distribution: median, mean, P25, P75, P90, P99 of award size by FY.</w:t>
      </w:r>
    </w:p>
    <w:p>
      <w:pPr>
        <w:pStyle w:val="ListBullet"/>
      </w:pPr>
      <w:r>
        <w:t>Concentration: HHI by funding agency and by recipient parent within FY.</w:t>
      </w:r>
    </w:p>
    <w:p>
      <w:pPr>
        <w:pStyle w:val="Heading2"/>
      </w:pPr>
      <w:r>
        <w:t>6.4 Real-dollar adjustments</w:t>
      </w:r>
    </w:p>
    <w:p>
      <w:r>
        <w:rPr>
          <w:b w:val="0"/>
          <w:i w:val="0"/>
        </w:rPr>
        <w:t>Same as full methodology: all multi-year comparisons reported in both nominal and FY 2025 real dollars. Default deflator is CPI-U (annual average); a sensitivity using the GDP price deflator is included in an appendix.</w:t>
      </w:r>
    </w:p>
    <w:p>
      <w:pPr>
        <w:pStyle w:val="Heading1"/>
      </w:pPr>
      <w:r>
        <w:t>7. Comparative Analysis Plan</w:t>
      </w:r>
    </w:p>
    <w:p>
      <w:r>
        <w:rPr>
          <w:b w:val="0"/>
          <w:i w:val="0"/>
        </w:rPr>
        <w:t>Same exhibit set as the full methodology, with three modifications specific to the lightweight context:</w:t>
      </w:r>
    </w:p>
    <w:p>
      <w:pPr>
        <w:pStyle w:val="Heading2"/>
      </w:pPr>
      <w:r>
        <w:t>7.1 Headline comparisons</w:t>
      </w:r>
    </w:p>
    <w:p>
      <w:r>
        <w:rPr>
          <w:b w:val="0"/>
          <w:i w:val="0"/>
        </w:rPr>
        <w:t>Run separately for Topline_Core, Educational, Hospital, International:</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w:t>
            </w:r>
          </w:p>
        </w:tc>
        <w:tc>
          <w:tcPr>
            <w:tcW w:type="dxa" w:w="3120"/>
          </w:tcPr>
          <w:p>
            <w:r>
              <w:rPr>
                <w:b/>
              </w:rPr>
              <w:t>Comparison</w:t>
            </w:r>
          </w:p>
        </w:tc>
        <w:tc>
          <w:tcPr>
            <w:tcW w:type="dxa" w:w="3120"/>
          </w:tcPr>
          <w:p>
            <w:r>
              <w:rPr>
                <w:b/>
              </w:rPr>
              <w:t>Cut</w:t>
            </w:r>
          </w:p>
        </w:tc>
      </w:tr>
      <w:tr>
        <w:tc>
          <w:tcPr>
            <w:tcW w:type="dxa" w:w="3120"/>
          </w:tcPr>
          <w:p>
            <w:r>
              <w:t>1</w:t>
            </w:r>
          </w:p>
        </w:tc>
        <w:tc>
          <w:tcPr>
            <w:tcW w:type="dxa" w:w="3120"/>
          </w:tcPr>
          <w:p>
            <w:r>
              <w:t>FY-over-FY total obligations</w:t>
            </w:r>
          </w:p>
        </w:tc>
        <w:tc>
          <w:tcPr>
            <w:tcW w:type="dxa" w:w="3120"/>
          </w:tcPr>
          <w:p>
            <w:r>
              <w:t>FY × panel; nominal and real</w:t>
            </w:r>
          </w:p>
        </w:tc>
      </w:tr>
      <w:tr>
        <w:tc>
          <w:tcPr>
            <w:tcW w:type="dxa" w:w="3120"/>
          </w:tcPr>
          <w:p>
            <w:r>
              <w:t>2</w:t>
            </w:r>
          </w:p>
        </w:tc>
        <w:tc>
          <w:tcPr>
            <w:tcW w:type="dxa" w:w="3120"/>
          </w:tcPr>
          <w:p>
            <w:r>
              <w:t>FY-over-FY total outlays</w:t>
            </w:r>
          </w:p>
        </w:tc>
        <w:tc>
          <w:tcPr>
            <w:tcW w:type="dxa" w:w="3120"/>
          </w:tcPr>
          <w:p>
            <w:r>
              <w:t>FY of award vintage × panel; with lag caveat</w:t>
            </w:r>
          </w:p>
        </w:tc>
      </w:tr>
      <w:tr>
        <w:tc>
          <w:tcPr>
            <w:tcW w:type="dxa" w:w="3120"/>
          </w:tcPr>
          <w:p>
            <w:r>
              <w:t>3</w:t>
            </w:r>
          </w:p>
        </w:tc>
        <w:tc>
          <w:tcPr>
            <w:tcW w:type="dxa" w:w="3120"/>
          </w:tcPr>
          <w:p>
            <w:r>
              <w:t>Mix shift by award type (02–11)</w:t>
            </w:r>
          </w:p>
        </w:tc>
        <w:tc>
          <w:tcPr>
            <w:tcW w:type="dxa" w:w="3120"/>
          </w:tcPr>
          <w:p>
            <w:r>
              <w:t>FY × award_type_code, per panel</w:t>
            </w:r>
          </w:p>
        </w:tc>
      </w:tr>
      <w:tr>
        <w:tc>
          <w:tcPr>
            <w:tcW w:type="dxa" w:w="3120"/>
          </w:tcPr>
          <w:p>
            <w:r>
              <w:t>4</w:t>
            </w:r>
          </w:p>
        </w:tc>
        <w:tc>
          <w:tcPr>
            <w:tcW w:type="dxa" w:w="3120"/>
          </w:tcPr>
          <w:p>
            <w:r>
              <w:t>Mix shift by action type (A/B/C/D/E)</w:t>
            </w:r>
          </w:p>
        </w:tc>
        <w:tc>
          <w:tcPr>
            <w:tcW w:type="dxa" w:w="3120"/>
          </w:tcPr>
          <w:p>
            <w:r>
              <w:t>FY × action_type, per panel</w:t>
            </w:r>
          </w:p>
        </w:tc>
      </w:tr>
      <w:tr>
        <w:tc>
          <w:tcPr>
            <w:tcW w:type="dxa" w:w="3120"/>
          </w:tcPr>
          <w:p>
            <w:r>
              <w:t>5</w:t>
            </w:r>
          </w:p>
        </w:tc>
        <w:tc>
          <w:tcPr>
            <w:tcW w:type="dxa" w:w="3120"/>
          </w:tcPr>
          <w:p>
            <w:r>
              <w:t>Top funding agencies</w:t>
            </w:r>
          </w:p>
        </w:tc>
        <w:tc>
          <w:tcPr>
            <w:tcW w:type="dxa" w:w="3120"/>
          </w:tcPr>
          <w:p>
            <w:r>
              <w:t>FY × awarding_agency_name; rank stability per panel</w:t>
            </w:r>
          </w:p>
        </w:tc>
      </w:tr>
      <w:tr>
        <w:tc>
          <w:tcPr>
            <w:tcW w:type="dxa" w:w="3120"/>
          </w:tcPr>
          <w:p>
            <w:r>
              <w:t>6</w:t>
            </w:r>
          </w:p>
        </w:tc>
        <w:tc>
          <w:tcPr>
            <w:tcW w:type="dxa" w:w="3120"/>
          </w:tcPr>
          <w:p>
            <w:r>
              <w:t>Top CFDA programs</w:t>
            </w:r>
          </w:p>
        </w:tc>
        <w:tc>
          <w:tcPr>
            <w:tcW w:type="dxa" w:w="3120"/>
          </w:tcPr>
          <w:p>
            <w:r>
              <w:t>FY × assistance_listing_number, per panel</w:t>
            </w:r>
          </w:p>
        </w:tc>
      </w:tr>
      <w:tr>
        <w:tc>
          <w:tcPr>
            <w:tcW w:type="dxa" w:w="3120"/>
          </w:tcPr>
          <w:p>
            <w:r>
              <w:t>7</w:t>
            </w:r>
          </w:p>
        </w:tc>
        <w:tc>
          <w:tcPr>
            <w:tcW w:type="dxa" w:w="3120"/>
          </w:tcPr>
          <w:p>
            <w:r>
              <w:t>Geographic concentration (domestic panels)</w:t>
            </w:r>
          </w:p>
        </w:tc>
        <w:tc>
          <w:tcPr>
            <w:tcW w:type="dxa" w:w="3120"/>
          </w:tcPr>
          <w:p>
            <w:r>
              <w:t>FY × recipient_state; per-capita variant</w:t>
            </w:r>
          </w:p>
        </w:tc>
      </w:tr>
      <w:tr>
        <w:tc>
          <w:tcPr>
            <w:tcW w:type="dxa" w:w="3120"/>
          </w:tcPr>
          <w:p>
            <w:r>
              <w:t>8</w:t>
            </w:r>
          </w:p>
        </w:tc>
        <w:tc>
          <w:tcPr>
            <w:tcW w:type="dxa" w:w="3120"/>
          </w:tcPr>
          <w:p>
            <w:r>
              <w:t>Geographic distribution (International)</w:t>
            </w:r>
          </w:p>
        </w:tc>
        <w:tc>
          <w:tcPr>
            <w:tcW w:type="dxa" w:w="3120"/>
          </w:tcPr>
          <w:p>
            <w:r>
              <w:t>FY × place_of_performance_country; region rollup</w:t>
            </w:r>
          </w:p>
        </w:tc>
      </w:tr>
      <w:tr>
        <w:tc>
          <w:tcPr>
            <w:tcW w:type="dxa" w:w="3120"/>
          </w:tcPr>
          <w:p>
            <w:r>
              <w:t>9</w:t>
            </w:r>
          </w:p>
        </w:tc>
        <w:tc>
          <w:tcPr>
            <w:tcW w:type="dxa" w:w="3120"/>
          </w:tcPr>
          <w:p>
            <w:r>
              <w:t>Recipient size distribution</w:t>
            </w:r>
          </w:p>
        </w:tc>
        <w:tc>
          <w:tcPr>
            <w:tcW w:type="dxa" w:w="3120"/>
          </w:tcPr>
          <w:p>
            <w:r>
              <w:t>FY × size band, per panel</w:t>
            </w:r>
          </w:p>
        </w:tc>
      </w:tr>
      <w:tr>
        <w:tc>
          <w:tcPr>
            <w:tcW w:type="dxa" w:w="3120"/>
          </w:tcPr>
          <w:p>
            <w:r>
              <w:t>10</w:t>
            </w:r>
          </w:p>
        </w:tc>
        <w:tc>
          <w:tcPr>
            <w:tcW w:type="dxa" w:w="3120"/>
          </w:tcPr>
          <w:p>
            <w:r>
              <w:t>New entrants vs. recurring recipients</w:t>
            </w:r>
          </w:p>
        </w:tc>
        <w:tc>
          <w:tcPr>
            <w:tcW w:type="dxa" w:w="3120"/>
          </w:tcPr>
          <w:p>
            <w:r>
              <w:t>set difference of recipient_id by FY, per panel</w:t>
            </w:r>
          </w:p>
        </w:tc>
      </w:tr>
      <w:tr>
        <w:tc>
          <w:tcPr>
            <w:tcW w:type="dxa" w:w="3120"/>
          </w:tcPr>
          <w:p>
            <w:r>
              <w:t>11</w:t>
            </w:r>
          </w:p>
        </w:tc>
        <w:tc>
          <w:tcPr>
            <w:tcW w:type="dxa" w:w="3120"/>
          </w:tcPr>
          <w:p>
            <w:r>
              <w:t>Educational sub-categories — collapsed</w:t>
            </w:r>
          </w:p>
        </w:tc>
        <w:tc>
          <w:tcPr>
            <w:tcW w:type="dxa" w:w="3120"/>
          </w:tcPr>
          <w:p>
            <w:r>
              <w:t>FY × Educational total only (no public/private 4-yr/2-yr split; IPEDS not available)</w:t>
            </w:r>
          </w:p>
        </w:tc>
      </w:tr>
      <w:tr>
        <w:tc>
          <w:tcPr>
            <w:tcW w:type="dxa" w:w="3120"/>
          </w:tcPr>
          <w:p>
            <w:r>
              <w:t>12</w:t>
            </w:r>
          </w:p>
        </w:tc>
        <w:tc>
          <w:tcPr>
            <w:tcW w:type="dxa" w:w="3120"/>
          </w:tcPr>
          <w:p>
            <w:r>
              <w:t>Hospital sub-categories</w:t>
            </w:r>
          </w:p>
        </w:tc>
        <w:tc>
          <w:tcPr>
            <w:tcW w:type="dxa" w:w="3120"/>
          </w:tcPr>
          <w:p>
            <w:r>
              <w:t>FY × (general/specialty name-flag, FQHC, research, other)</w:t>
            </w:r>
          </w:p>
        </w:tc>
      </w:tr>
      <w:tr>
        <w:tc>
          <w:tcPr>
            <w:tcW w:type="dxa" w:w="3120"/>
          </w:tcPr>
          <w:p>
            <w:r>
              <w:t>13</w:t>
            </w:r>
          </w:p>
        </w:tc>
        <w:tc>
          <w:tcPr>
            <w:tcW w:type="dxa" w:w="3120"/>
          </w:tcPr>
          <w:p>
            <w:r>
              <w:t>International sub-categories</w:t>
            </w:r>
          </w:p>
        </w:tc>
        <w:tc>
          <w:tcPr>
            <w:tcW w:type="dxa" w:w="3120"/>
          </w:tcPr>
          <w:p>
            <w:r>
              <w:t>FY × (humanitarian, global health, governance, security, edu-research)</w:t>
            </w:r>
          </w:p>
        </w:tc>
      </w:tr>
      <w:tr>
        <w:tc>
          <w:tcPr>
            <w:tcW w:type="dxa" w:w="3120"/>
          </w:tcPr>
          <w:p>
            <w:r>
              <w:t>14</w:t>
            </w:r>
          </w:p>
        </w:tc>
        <w:tc>
          <w:tcPr>
            <w:tcW w:type="dxa" w:w="3120"/>
          </w:tcPr>
          <w:p>
            <w:r>
              <w:t>U.S.-prime vs foreign-prime within International</w:t>
            </w:r>
          </w:p>
        </w:tc>
        <w:tc>
          <w:tcPr>
            <w:tcW w:type="dxa" w:w="3120"/>
          </w:tcPr>
          <w:p>
            <w:r>
              <w:t>FY × prime_recipient_country</w:t>
            </w:r>
          </w:p>
        </w:tc>
      </w:tr>
      <w:tr>
        <w:tc>
          <w:tcPr>
            <w:tcW w:type="dxa" w:w="3120"/>
          </w:tcPr>
          <w:p>
            <w:r>
              <w:t>15</w:t>
            </w:r>
          </w:p>
        </w:tc>
        <w:tc>
          <w:tcPr>
            <w:tcW w:type="dxa" w:w="3120"/>
          </w:tcPr>
          <w:p>
            <w:r>
              <w:t>Decomposition of FY25 vs. FY22 change</w:t>
            </w:r>
          </w:p>
        </w:tc>
        <w:tc>
          <w:tcPr>
            <w:tcW w:type="dxa" w:w="3120"/>
          </w:tcPr>
          <w:p>
            <w:r>
              <w:t>Shift-share: panel, agency, program, recipient mix</w:t>
            </w:r>
          </w:p>
        </w:tc>
      </w:tr>
    </w:tbl>
    <w:p>
      <w:pPr>
        <w:pStyle w:val="Heading2"/>
      </w:pPr>
      <w:r>
        <w:t>7.2 Robustness cuts</w:t>
      </w:r>
    </w:p>
    <w:p>
      <w:pPr>
        <w:pStyle w:val="ListBullet"/>
      </w:pPr>
      <w:r>
        <w:t>Exclude the top 1% of awards by dollar value to test whether totals are driven by a small number of mega-grants.</w:t>
      </w:r>
    </w:p>
    <w:p>
      <w:pPr>
        <w:pStyle w:val="ListBullet"/>
      </w:pPr>
      <w:r>
        <w:t>Exclude COVID-era programs (Provider Relief Fund, ARPA SLFRF, ERA, EANS, RRF, HEERF) so the underlying baseline trend is visible.</w:t>
      </w:r>
    </w:p>
    <w:p>
      <w:pPr>
        <w:pStyle w:val="ListBullet"/>
      </w:pPr>
      <w:r>
        <w:t>Restrict to recipients that pass the M-rule consistently across all FYs they appear in (no co-tag drift) — bounds tagging-instability sensitivity.</w:t>
      </w:r>
    </w:p>
    <w:p>
      <w:pPr>
        <w:pStyle w:val="ListBullet"/>
      </w:pPr>
      <w:r>
        <w:t>Replicate with the alternate priority hierarchy (Hospital &gt; Educational &gt; International &gt; Core) to expose hierarchy sensitivity.</w:t>
      </w:r>
    </w:p>
    <w:p>
      <w:pPr>
        <w:pStyle w:val="Heading2"/>
      </w:pPr>
      <w:r>
        <w:t>7.3 Decomposition framework</w:t>
      </w:r>
    </w:p>
    <w:p>
      <w:r>
        <w:rPr>
          <w:b w:val="0"/>
          <w:i w:val="0"/>
        </w:rPr>
        <w:t>Same shift-share style attribution as the full methodology: change in within-program obligations, change in program mix, residual interaction term. Decomposition performed at the agency-program level.</w:t>
      </w:r>
    </w:p>
    <w:p>
      <w:pPr>
        <w:pStyle w:val="Heading1"/>
      </w:pPr>
      <w:r>
        <w:t>8. Caveats and Limitations</w:t>
      </w:r>
    </w:p>
    <w:p>
      <w:pPr>
        <w:pStyle w:val="ListBullet"/>
      </w:pPr>
      <w:r>
        <w:t>business_types_code is agency-reported and inconsistently applied. The original full-methodology document calls this out as the reason BMF was used. Phase 1 explicitly accepts the agency-reported tag; the reader needs to know.</w:t>
      </w:r>
    </w:p>
    <w:p>
      <w:pPr>
        <w:pStyle w:val="ListBullet"/>
      </w:pPr>
      <w:r>
        <w:t>No point-in-time 501(c)(3) status verification. A recipient whose 501(c)(3) status was revoked during the window is not detected.</w:t>
      </w:r>
    </w:p>
    <w:p>
      <w:pPr>
        <w:pStyle w:val="ListBullet"/>
      </w:pPr>
      <w:r>
        <w:t>No public-charity vs. private-foundation split. BMF FOUNDATION 10–18 vs. 02–04 is not accessible.</w:t>
      </w:r>
    </w:p>
    <w:p>
      <w:pPr>
        <w:pStyle w:val="ListBullet"/>
      </w:pPr>
      <w:r>
        <w:t>No parent-child rollup beyond what USAspending’s recipient_profile already provides. Mergers, name changes, and fission events that span the FY22–FY25 window will appear as separate recipients.</w:t>
      </w:r>
    </w:p>
    <w:p>
      <w:pPr>
        <w:pStyle w:val="ListBullet"/>
      </w:pPr>
      <w:r>
        <w:t>DUNS-to-UEI transition (April 4, 2022) — small residual mismatch rate of roughly 1–3% of recipients in early FY22.</w:t>
      </w:r>
    </w:p>
    <w:p>
      <w:pPr>
        <w:pStyle w:val="ListBullet"/>
      </w:pPr>
      <w:r>
        <w:t>FY25 outlay undercount. Award Data Archive snapshot lag (~30 days) compounds this.</w:t>
      </w:r>
    </w:p>
    <w:p>
      <w:pPr>
        <w:pStyle w:val="ListBullet"/>
      </w:pPr>
      <w:r>
        <w:t>Educational and Hospital panels rest on regex / curated-listing heuristics. Mandatory 200-row precision audit (Section 4.7).</w:t>
      </w:r>
    </w:p>
    <w:p>
      <w:pPr>
        <w:pStyle w:val="ListBullet"/>
      </w:pPr>
      <w:r>
        <w:t>International panel drops the NTEE Q-series rule. International NGOs receiving a domestically-listed transaction are not flagged.</w:t>
      </w:r>
    </w:p>
    <w:p>
      <w:pPr>
        <w:pStyle w:val="ListBullet"/>
      </w:pPr>
      <w:r>
        <w:t>Phase 1 is a directional Phase 1 estimate. The full BMF-backed methodology is the authoritative answer when available.</w:t>
      </w:r>
    </w:p>
    <w:p>
      <w:pPr>
        <w:pStyle w:val="Heading1"/>
      </w:pPr>
      <w:r>
        <w:t>9. Reproducibility and Run Manifest</w:t>
      </w:r>
    </w:p>
    <w:p>
      <w:r>
        <w:rPr>
          <w:b w:val="0"/>
          <w:i w:val="0"/>
        </w:rPr>
        <w:t>Every analytic run produces a manifest file capturing:</w:t>
      </w:r>
    </w:p>
    <w:p>
      <w:pPr>
        <w:pStyle w:val="ListBullet"/>
      </w:pPr>
      <w:r>
        <w:t>Award Data Archive snapshot date and SHA-256 per per-agency zip used.</w:t>
      </w:r>
    </w:p>
    <w:p>
      <w:pPr>
        <w:pStyle w:val="ListBullet"/>
      </w:pPr>
      <w:r>
        <w:t>(If used) Custom Award Downloads request payload (JSON), filter values, and API refresh date.</w:t>
      </w:r>
    </w:p>
    <w:p>
      <w:pPr>
        <w:pStyle w:val="ListBullet"/>
      </w:pPr>
      <w:r>
        <w:t>M-rule version and exclusion-list version (combined SHA-256 of all reference YAMLs).</w:t>
      </w:r>
    </w:p>
    <w:p>
      <w:pPr>
        <w:pStyle w:val="ListBullet"/>
      </w:pPr>
      <w:r>
        <w:t>Hospital and Educational regex / listing version hashes.</w:t>
      </w:r>
    </w:p>
    <w:p>
      <w:pPr>
        <w:pStyle w:val="ListBullet"/>
      </w:pPr>
      <w:r>
        <w:t>Reviewer log for the top-50-per-panel manual review and the 200-row precision audits.</w:t>
      </w:r>
    </w:p>
    <w:p>
      <w:pPr>
        <w:pStyle w:val="ListBullet"/>
      </w:pPr>
      <w:r>
        <w:t>Code commit hash and parameter file commit hash.</w:t>
      </w:r>
    </w:p>
    <w:p>
      <w:pPr>
        <w:pStyle w:val="ListBullet"/>
      </w:pPr>
      <w:r>
        <w:t>Output file SHA-256 hashes for every exhibit.</w:t>
      </w:r>
    </w:p>
    <w:p>
      <w:pPr>
        <w:pStyle w:val="Heading1"/>
      </w:pPr>
      <w:r>
        <w:t>10. Step-by-Step Implementation Plan</w:t>
      </w:r>
    </w:p>
    <w:p>
      <w:pPr>
        <w:pStyle w:val="Heading2"/>
      </w:pPr>
      <w:r>
        <w:t>10.1 Step 1 — Project storage</w:t>
      </w:r>
    </w:p>
    <w:p>
      <w:r>
        <w:rPr>
          <w:rFonts w:ascii="Consolas" w:hAnsi="Consolas"/>
          <w:sz w:val="18"/>
        </w:rPr>
        <w:t>/project_root</w:t>
        <w:br/>
        <w:t xml:space="preserve">  /raw            # immutable downloads (USAspending zips)</w:t>
        <w:br/>
        <w:t xml:space="preserve">  /interim        # parsed parquet files</w:t>
        <w:br/>
        <w:t xml:space="preserve">  /reference_lists # YAML rule files</w:t>
        <w:br/>
        <w:t xml:space="preserve">  /processed      # filtered &amp; classified analytic tables</w:t>
        <w:br/>
        <w:t xml:space="preserve">  /exhibits       # final tables and charts</w:t>
        <w:br/>
        <w:t xml:space="preserve">  /manifests      # run manifests, hashes, reviewer logs</w:t>
      </w:r>
    </w:p>
    <w:p>
      <w:pPr>
        <w:pStyle w:val="Heading2"/>
      </w:pPr>
      <w:r>
        <w:t>10.2 Step 2 — Acquire USAspending data</w:t>
      </w:r>
    </w:p>
    <w:p>
      <w:r>
        <w:rPr>
          <w:b w:val="0"/>
          <w:i w:val="0"/>
        </w:rPr>
        <w:t>Use the Award Data Archive path. Per-agency Assistance Full zips are fetched from files.usaspending.gov/award_data_archive/, deduplicated to the latest snapshot per (FY, agency), downloaded in parallel, and extracted to per-FY transactions parquet files under /interim. No IRS BMF, no SAM, no IPEDS / AHA / HRSA acquisition steps.</w:t>
      </w:r>
    </w:p>
    <w:p>
      <w:pPr>
        <w:pStyle w:val="Heading2"/>
      </w:pPr>
      <w:r>
        <w:t>10.3 Step 3 — Build the recipient_filter table</w:t>
      </w:r>
    </w:p>
    <w:p>
      <w:r>
        <w:rPr>
          <w:b w:val="0"/>
          <w:i w:val="0"/>
        </w:rPr>
        <w:t>New module (no analog in full methodology). Loads the deduped recipient list, applies the M-with-exclusions rule, persists processed/recipient_filter.parquet with one row per UEI containing (uei, name, state, business_types_set, in_scope, exclusion_reason).</w:t>
      </w:r>
    </w:p>
    <w:p>
      <w:pPr>
        <w:pStyle w:val="Heading2"/>
      </w:pPr>
      <w:r>
        <w:t>10.4 Step 4 — Apply panel classification</w:t>
      </w:r>
    </w:p>
    <w:p>
      <w:r>
        <w:rPr>
          <w:b w:val="0"/>
          <w:i w:val="0"/>
        </w:rPr>
        <w:t>Run the rules in Section 4.2–4.4 in priority order: International (transaction-level), Hospital (recipient-level heuristic), Educational (recipient-level heuristic), Core (residual). Persist a category_assignment table with one row per transaction containing (transaction_id, recipient_uei, recipient_category, recipient_subcategory, classification_rule_hits, reviewer_note).</w:t>
      </w:r>
    </w:p>
    <w:p>
      <w:pPr>
        <w:pStyle w:val="Heading2"/>
      </w:pPr>
      <w:r>
        <w:t>10.5 Step 5 — Build the analytic tables</w:t>
      </w:r>
    </w:p>
    <w:p>
      <w:r>
        <w:rPr>
          <w:b w:val="0"/>
          <w:i w:val="0"/>
        </w:rPr>
        <w:t>Two persistent tables, schema simplified relative to the full methodology:</w:t>
      </w:r>
    </w:p>
    <w:p>
      <w:pPr>
        <w:pStyle w:val="ListBullet"/>
      </w:pPr>
      <w:r>
        <w:t>assistance_txn_501c3_lightweight: one row per transaction in the M-with-exclusions in-scope set, with FY, panel, sub-panel, classification rule hits, real-dollar series.</w:t>
      </w:r>
    </w:p>
    <w:p>
      <w:pPr>
        <w:pStyle w:val="ListBullet"/>
      </w:pPr>
      <w:r>
        <w:t>assistance_awards_501c3_lightweight: one row per prime award, with first_action_date, vintage_fy, cumulative_outlay.</w:t>
      </w:r>
    </w:p>
    <w:p>
      <w:pPr>
        <w:pStyle w:val="Heading2"/>
      </w:pPr>
      <w:r>
        <w:t>10.6 Step 6 — Aggregations and exhibits</w:t>
      </w:r>
    </w:p>
    <w:p>
      <w:r>
        <w:rPr>
          <w:b w:val="0"/>
          <w:i w:val="0"/>
        </w:rPr>
        <w:t>Same exhibit pipeline as full methodology, with the modifications in Section 7.1 (collapsed Educational sub-cuts; Hospital sub-cuts re-defined; cross-tab 3 dropped).</w:t>
      </w:r>
    </w:p>
    <w:p>
      <w:pPr>
        <w:pStyle w:val="Heading2"/>
      </w:pPr>
      <w:r>
        <w:t>10.7 Step 7 — QA and sign-off</w:t>
      </w:r>
    </w:p>
    <w:p>
      <w:pPr>
        <w:pStyle w:val="ListBullet"/>
      </w:pPr>
      <w:r>
        <w:t>Reconcile total transaction-level obligations against USAspending Spending Explorer for FY22–FY24. Difference &lt; 1%; investigate any cell over 2%.</w:t>
      </w:r>
    </w:p>
    <w:p>
      <w:pPr>
        <w:pStyle w:val="ListBullet"/>
      </w:pPr>
      <w:r>
        <w:t>Spot-check the top 25 recipients in each FY against their public Form 990 / annual report grants schedule for plausibility and M-tag accuracy.</w:t>
      </w:r>
    </w:p>
    <w:p>
      <w:pPr>
        <w:pStyle w:val="ListBullet"/>
      </w:pPr>
      <w:r>
        <w:t>Run the 200-row Hospital and Educational precision audits.</w:t>
      </w:r>
    </w:p>
    <w:p>
      <w:pPr>
        <w:pStyle w:val="ListBullet"/>
      </w:pPr>
      <w:r>
        <w:t>Optional reconciliation exhibit: lightweight Topline vs. BMF-backed Topline by FY, side-by-side. Populated only if the full pipeline’s outputs are available in the same project tree; otherwise emits an empty file with a 'no-comparison-available' note.</w:t>
      </w:r>
    </w:p>
    <w:p>
      <w:pPr>
        <w:pStyle w:val="Heading1"/>
      </w:pPr>
      <w:r>
        <w:t>11. Output Schema (analytic table, lightweight)</w:t>
      </w:r>
    </w:p>
    <w:p>
      <w:r>
        <w:rPr>
          <w:b w:val="0"/>
          <w:i w:val="0"/>
        </w:rPr>
        <w:t>Column names use the canonical pipeline naming (no '_name' suffix on agency fields; assistance_listing_number not cfda_number).</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Pr>
                <w:b/>
              </w:rPr>
              <w:t>Column</w:t>
            </w:r>
          </w:p>
        </w:tc>
        <w:tc>
          <w:tcPr>
            <w:tcW w:type="dxa" w:w="1440"/>
          </w:tcPr>
          <w:p>
            <w:r>
              <w:rPr>
                <w:b/>
              </w:rPr>
              <w:t>Type</w:t>
            </w:r>
          </w:p>
        </w:tc>
        <w:tc>
          <w:tcPr>
            <w:tcW w:type="dxa" w:w="5040"/>
          </w:tcPr>
          <w:p>
            <w:r>
              <w:rPr>
                <w:b/>
              </w:rPr>
              <w:t>Definition</w:t>
            </w:r>
          </w:p>
        </w:tc>
      </w:tr>
      <w:tr>
        <w:tc>
          <w:tcPr>
            <w:tcW w:type="dxa" w:w="2880"/>
          </w:tcPr>
          <w:p>
            <w:r>
              <w:t>fy</w:t>
            </w:r>
          </w:p>
        </w:tc>
        <w:tc>
          <w:tcPr>
            <w:tcW w:type="dxa" w:w="1440"/>
          </w:tcPr>
          <w:p>
            <w:r>
              <w:t>int</w:t>
            </w:r>
          </w:p>
        </w:tc>
        <w:tc>
          <w:tcPr>
            <w:tcW w:type="dxa" w:w="5040"/>
          </w:tcPr>
          <w:p>
            <w:r>
              <w:t>Federal fiscal year derived from action_date</w:t>
            </w:r>
          </w:p>
        </w:tc>
      </w:tr>
      <w:tr>
        <w:tc>
          <w:tcPr>
            <w:tcW w:type="dxa" w:w="2880"/>
          </w:tcPr>
          <w:p>
            <w:r>
              <w:t>action_date</w:t>
            </w:r>
          </w:p>
        </w:tc>
        <w:tc>
          <w:tcPr>
            <w:tcW w:type="dxa" w:w="1440"/>
          </w:tcPr>
          <w:p>
            <w:r>
              <w:t>date</w:t>
            </w:r>
          </w:p>
        </w:tc>
        <w:tc>
          <w:tcPr>
            <w:tcW w:type="dxa" w:w="5040"/>
          </w:tcPr>
          <w:p>
            <w:r>
              <w:t>Transaction action_date</w:t>
            </w:r>
          </w:p>
        </w:tc>
      </w:tr>
      <w:tr>
        <w:tc>
          <w:tcPr>
            <w:tcW w:type="dxa" w:w="2880"/>
          </w:tcPr>
          <w:p>
            <w:r>
              <w:t>award_id_unique</w:t>
            </w:r>
          </w:p>
        </w:tc>
        <w:tc>
          <w:tcPr>
            <w:tcW w:type="dxa" w:w="1440"/>
          </w:tcPr>
          <w:p>
            <w:r>
              <w:t>string</w:t>
            </w:r>
          </w:p>
        </w:tc>
        <w:tc>
          <w:tcPr>
            <w:tcW w:type="dxa" w:w="5040"/>
          </w:tcPr>
          <w:p>
            <w:r>
              <w:t>USAspending unique award id</w:t>
            </w:r>
          </w:p>
        </w:tc>
      </w:tr>
      <w:tr>
        <w:tc>
          <w:tcPr>
            <w:tcW w:type="dxa" w:w="2880"/>
          </w:tcPr>
          <w:p>
            <w:r>
              <w:t>transaction_id</w:t>
            </w:r>
          </w:p>
        </w:tc>
        <w:tc>
          <w:tcPr>
            <w:tcW w:type="dxa" w:w="1440"/>
          </w:tcPr>
          <w:p>
            <w:r>
              <w:t>string</w:t>
            </w:r>
          </w:p>
        </w:tc>
        <w:tc>
          <w:tcPr>
            <w:tcW w:type="dxa" w:w="5040"/>
          </w:tcPr>
          <w:p>
            <w:r>
              <w:t>USAspending unique transaction id</w:t>
            </w:r>
          </w:p>
        </w:tc>
      </w:tr>
      <w:tr>
        <w:tc>
          <w:tcPr>
            <w:tcW w:type="dxa" w:w="2880"/>
          </w:tcPr>
          <w:p>
            <w:r>
              <w:t>award_type_code</w:t>
            </w:r>
          </w:p>
        </w:tc>
        <w:tc>
          <w:tcPr>
            <w:tcW w:type="dxa" w:w="1440"/>
          </w:tcPr>
          <w:p>
            <w:r>
              <w:t>string</w:t>
            </w:r>
          </w:p>
        </w:tc>
        <w:tc>
          <w:tcPr>
            <w:tcW w:type="dxa" w:w="5040"/>
          </w:tcPr>
          <w:p>
            <w:r>
              <w:t>02–11 (financial assistance only)</w:t>
            </w:r>
          </w:p>
        </w:tc>
      </w:tr>
      <w:tr>
        <w:tc>
          <w:tcPr>
            <w:tcW w:type="dxa" w:w="2880"/>
          </w:tcPr>
          <w:p>
            <w:r>
              <w:t>action_type</w:t>
            </w:r>
          </w:p>
        </w:tc>
        <w:tc>
          <w:tcPr>
            <w:tcW w:type="dxa" w:w="1440"/>
          </w:tcPr>
          <w:p>
            <w:r>
              <w:t>string</w:t>
            </w:r>
          </w:p>
        </w:tc>
        <w:tc>
          <w:tcPr>
            <w:tcW w:type="dxa" w:w="5040"/>
          </w:tcPr>
          <w:p>
            <w:r>
              <w:t>A New / B Continuation / C Revision / D Funding / E Correction</w:t>
            </w:r>
          </w:p>
        </w:tc>
      </w:tr>
      <w:tr>
        <w:tc>
          <w:tcPr>
            <w:tcW w:type="dxa" w:w="2880"/>
          </w:tcPr>
          <w:p>
            <w:r>
              <w:t>awarding_agency</w:t>
            </w:r>
          </w:p>
        </w:tc>
        <w:tc>
          <w:tcPr>
            <w:tcW w:type="dxa" w:w="1440"/>
          </w:tcPr>
          <w:p>
            <w:r>
              <w:t>string</w:t>
            </w:r>
          </w:p>
        </w:tc>
        <w:tc>
          <w:tcPr>
            <w:tcW w:type="dxa" w:w="5040"/>
          </w:tcPr>
          <w:p>
            <w:r>
              <w:t>Awarding agency name</w:t>
            </w:r>
          </w:p>
        </w:tc>
      </w:tr>
      <w:tr>
        <w:tc>
          <w:tcPr>
            <w:tcW w:type="dxa" w:w="2880"/>
          </w:tcPr>
          <w:p>
            <w:r>
              <w:t>awarding_subagency</w:t>
            </w:r>
          </w:p>
        </w:tc>
        <w:tc>
          <w:tcPr>
            <w:tcW w:type="dxa" w:w="1440"/>
          </w:tcPr>
          <w:p>
            <w:r>
              <w:t>string</w:t>
            </w:r>
          </w:p>
        </w:tc>
        <w:tc>
          <w:tcPr>
            <w:tcW w:type="dxa" w:w="5040"/>
          </w:tcPr>
          <w:p>
            <w:r>
              <w:t>Awarding sub-agency name</w:t>
            </w:r>
          </w:p>
        </w:tc>
      </w:tr>
      <w:tr>
        <w:tc>
          <w:tcPr>
            <w:tcW w:type="dxa" w:w="2880"/>
          </w:tcPr>
          <w:p>
            <w:r>
              <w:t>assistance_listing_number</w:t>
            </w:r>
          </w:p>
        </w:tc>
        <w:tc>
          <w:tcPr>
            <w:tcW w:type="dxa" w:w="1440"/>
          </w:tcPr>
          <w:p>
            <w:r>
              <w:t>string</w:t>
            </w:r>
          </w:p>
        </w:tc>
        <w:tc>
          <w:tcPr>
            <w:tcW w:type="dxa" w:w="5040"/>
          </w:tcPr>
          <w:p>
            <w:r>
              <w:t>CFDA / Assistance Listing</w:t>
            </w:r>
          </w:p>
        </w:tc>
      </w:tr>
      <w:tr>
        <w:tc>
          <w:tcPr>
            <w:tcW w:type="dxa" w:w="2880"/>
          </w:tcPr>
          <w:p>
            <w:r>
              <w:t>recipient_uei</w:t>
            </w:r>
          </w:p>
        </w:tc>
        <w:tc>
          <w:tcPr>
            <w:tcW w:type="dxa" w:w="1440"/>
          </w:tcPr>
          <w:p>
            <w:r>
              <w:t>string</w:t>
            </w:r>
          </w:p>
        </w:tc>
        <w:tc>
          <w:tcPr>
            <w:tcW w:type="dxa" w:w="5040"/>
          </w:tcPr>
          <w:p>
            <w:r>
              <w:t>USAspending recipient UEI</w:t>
            </w:r>
          </w:p>
        </w:tc>
      </w:tr>
      <w:tr>
        <w:tc>
          <w:tcPr>
            <w:tcW w:type="dxa" w:w="2880"/>
          </w:tcPr>
          <w:p>
            <w:r>
              <w:t>recipient_state</w:t>
            </w:r>
          </w:p>
        </w:tc>
        <w:tc>
          <w:tcPr>
            <w:tcW w:type="dxa" w:w="1440"/>
          </w:tcPr>
          <w:p>
            <w:r>
              <w:t>string</w:t>
            </w:r>
          </w:p>
        </w:tc>
        <w:tc>
          <w:tcPr>
            <w:tcW w:type="dxa" w:w="5040"/>
          </w:tcPr>
          <w:p>
            <w:r>
              <w:t>Recipient state code</w:t>
            </w:r>
          </w:p>
        </w:tc>
      </w:tr>
      <w:tr>
        <w:tc>
          <w:tcPr>
            <w:tcW w:type="dxa" w:w="2880"/>
          </w:tcPr>
          <w:p>
            <w:r>
              <w:t>business_types_set</w:t>
            </w:r>
          </w:p>
        </w:tc>
        <w:tc>
          <w:tcPr>
            <w:tcW w:type="dxa" w:w="1440"/>
          </w:tcPr>
          <w:p>
            <w:r>
              <w:t>array&lt;string&gt;</w:t>
            </w:r>
          </w:p>
        </w:tc>
        <w:tc>
          <w:tcPr>
            <w:tcW w:type="dxa" w:w="5040"/>
          </w:tcPr>
          <w:p>
            <w:r>
              <w:t>Union of M and any non-disqualifying co-tags (e.g., {M}, {M,E}, {M,K})</w:t>
            </w:r>
          </w:p>
        </w:tc>
      </w:tr>
      <w:tr>
        <w:tc>
          <w:tcPr>
            <w:tcW w:type="dxa" w:w="2880"/>
          </w:tcPr>
          <w:p>
            <w:r>
              <w:t>recipient_category</w:t>
            </w:r>
          </w:p>
        </w:tc>
        <w:tc>
          <w:tcPr>
            <w:tcW w:type="dxa" w:w="1440"/>
          </w:tcPr>
          <w:p>
            <w:r>
              <w:t>string</w:t>
            </w:r>
          </w:p>
        </w:tc>
        <w:tc>
          <w:tcPr>
            <w:tcW w:type="dxa" w:w="5040"/>
          </w:tcPr>
          <w:p>
            <w:r>
              <w:t>international | hospital | educational | core</w:t>
            </w:r>
          </w:p>
        </w:tc>
      </w:tr>
      <w:tr>
        <w:tc>
          <w:tcPr>
            <w:tcW w:type="dxa" w:w="2880"/>
          </w:tcPr>
          <w:p>
            <w:r>
              <w:t>recipient_subcategory</w:t>
            </w:r>
          </w:p>
        </w:tc>
        <w:tc>
          <w:tcPr>
            <w:tcW w:type="dxa" w:w="1440"/>
          </w:tcPr>
          <w:p>
            <w:r>
              <w:t>string</w:t>
            </w:r>
          </w:p>
        </w:tc>
        <w:tc>
          <w:tcPr>
            <w:tcW w:type="dxa" w:w="5040"/>
          </w:tcPr>
          <w:p>
            <w:r>
              <w:t>e.g., fqhc, charter_school, global_health</w:t>
            </w:r>
          </w:p>
        </w:tc>
      </w:tr>
      <w:tr>
        <w:tc>
          <w:tcPr>
            <w:tcW w:type="dxa" w:w="2880"/>
          </w:tcPr>
          <w:p>
            <w:r>
              <w:t>classification_rule_hits</w:t>
            </w:r>
          </w:p>
        </w:tc>
        <w:tc>
          <w:tcPr>
            <w:tcW w:type="dxa" w:w="1440"/>
          </w:tcPr>
          <w:p>
            <w:r>
              <w:t>array&lt;string&gt;</w:t>
            </w:r>
          </w:p>
        </w:tc>
        <w:tc>
          <w:tcPr>
            <w:tcW w:type="dxa" w:w="5040"/>
          </w:tcPr>
          <w:p>
            <w:r>
              <w:t>Audit trail: which rules in 4.2–4.4 fired</w:t>
            </w:r>
          </w:p>
        </w:tc>
      </w:tr>
      <w:tr>
        <w:tc>
          <w:tcPr>
            <w:tcW w:type="dxa" w:w="2880"/>
          </w:tcPr>
          <w:p>
            <w:r>
              <w:t>place_of_performance_country</w:t>
            </w:r>
          </w:p>
        </w:tc>
        <w:tc>
          <w:tcPr>
            <w:tcW w:type="dxa" w:w="1440"/>
          </w:tcPr>
          <w:p>
            <w:r>
              <w:t>string</w:t>
            </w:r>
          </w:p>
        </w:tc>
        <w:tc>
          <w:tcPr>
            <w:tcW w:type="dxa" w:w="5040"/>
          </w:tcPr>
          <w:p>
            <w:r>
              <w:t>ISO country code; drives International flag</w:t>
            </w:r>
          </w:p>
        </w:tc>
      </w:tr>
      <w:tr>
        <w:tc>
          <w:tcPr>
            <w:tcW w:type="dxa" w:w="2880"/>
          </w:tcPr>
          <w:p>
            <w:r>
              <w:t>intl_prime_country</w:t>
            </w:r>
          </w:p>
        </w:tc>
        <w:tc>
          <w:tcPr>
            <w:tcW w:type="dxa" w:w="1440"/>
          </w:tcPr>
          <w:p>
            <w:r>
              <w:t>string</w:t>
            </w:r>
          </w:p>
        </w:tc>
        <w:tc>
          <w:tcPr>
            <w:tcW w:type="dxa" w:w="5040"/>
          </w:tcPr>
          <w:p>
            <w:r>
              <w:t>Prime recipient country for International panel</w:t>
            </w:r>
          </w:p>
        </w:tc>
      </w:tr>
      <w:tr>
        <w:tc>
          <w:tcPr>
            <w:tcW w:type="dxa" w:w="2880"/>
          </w:tcPr>
          <w:p>
            <w:r>
              <w:t>federal_action_obligation</w:t>
            </w:r>
          </w:p>
        </w:tc>
        <w:tc>
          <w:tcPr>
            <w:tcW w:type="dxa" w:w="1440"/>
          </w:tcPr>
          <w:p>
            <w:r>
              <w:t>decimal</w:t>
            </w:r>
          </w:p>
        </w:tc>
        <w:tc>
          <w:tcPr>
            <w:tcW w:type="dxa" w:w="5040"/>
          </w:tcPr>
          <w:p>
            <w:r>
              <w:t>Net obligation amount for the transaction</w:t>
            </w:r>
          </w:p>
        </w:tc>
      </w:tr>
      <w:tr>
        <w:tc>
          <w:tcPr>
            <w:tcW w:type="dxa" w:w="2880"/>
          </w:tcPr>
          <w:p>
            <w:r>
              <w:t>cumulative_outlay_award</w:t>
            </w:r>
          </w:p>
        </w:tc>
        <w:tc>
          <w:tcPr>
            <w:tcW w:type="dxa" w:w="1440"/>
          </w:tcPr>
          <w:p>
            <w:r>
              <w:t>decimal</w:t>
            </w:r>
          </w:p>
        </w:tc>
        <w:tc>
          <w:tcPr>
            <w:tcW w:type="dxa" w:w="5040"/>
          </w:tcPr>
          <w:p>
            <w:r>
              <w:t>Award-level cumulative outlay (joined back from awards table)</w:t>
            </w:r>
          </w:p>
        </w:tc>
      </w:tr>
      <w:tr>
        <w:tc>
          <w:tcPr>
            <w:tcW w:type="dxa" w:w="2880"/>
          </w:tcPr>
          <w:p>
            <w:r>
              <w:t>covid_flag</w:t>
            </w:r>
          </w:p>
        </w:tc>
        <w:tc>
          <w:tcPr>
            <w:tcW w:type="dxa" w:w="1440"/>
          </w:tcPr>
          <w:p>
            <w:r>
              <w:t>bool</w:t>
            </w:r>
          </w:p>
        </w:tc>
        <w:tc>
          <w:tcPr>
            <w:tcW w:type="dxa" w:w="5040"/>
          </w:tcPr>
          <w:p>
            <w:r>
              <w:t>True if assistance_listing or program in COVID program list</w:t>
            </w:r>
          </w:p>
        </w:tc>
      </w:tr>
      <w:tr>
        <w:tc>
          <w:tcPr>
            <w:tcW w:type="dxa" w:w="2880"/>
          </w:tcPr>
          <w:p>
            <w:r>
              <w:t>snapshot_date</w:t>
            </w:r>
          </w:p>
        </w:tc>
        <w:tc>
          <w:tcPr>
            <w:tcW w:type="dxa" w:w="1440"/>
          </w:tcPr>
          <w:p>
            <w:r>
              <w:t>date</w:t>
            </w:r>
          </w:p>
        </w:tc>
        <w:tc>
          <w:tcPr>
            <w:tcW w:type="dxa" w:w="5040"/>
          </w:tcPr>
          <w:p>
            <w:r>
              <w:t>Award Data Archive snapshot date for this run</w:t>
            </w:r>
          </w:p>
        </w:tc>
      </w:tr>
      <w:tr>
        <w:tc>
          <w:tcPr>
            <w:tcW w:type="dxa" w:w="2880"/>
          </w:tcPr>
          <w:p>
            <w:r>
              <w:t>classification_rules_version</w:t>
            </w:r>
          </w:p>
        </w:tc>
        <w:tc>
          <w:tcPr>
            <w:tcW w:type="dxa" w:w="1440"/>
          </w:tcPr>
          <w:p>
            <w:r>
              <w:t>string</w:t>
            </w:r>
          </w:p>
        </w:tc>
        <w:tc>
          <w:tcPr>
            <w:tcW w:type="dxa" w:w="5040"/>
          </w:tcPr>
          <w:p>
            <w:r>
              <w:t>Version hash of the YAML reference lists</w:t>
            </w:r>
          </w:p>
        </w:tc>
      </w:tr>
    </w:tbl>
    <w:p>
      <w:pPr>
        <w:pStyle w:val="Heading1"/>
      </w:pPr>
      <w:r>
        <w:t>12. Risks and Mitigations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Risk</w:t>
            </w:r>
          </w:p>
        </w:tc>
        <w:tc>
          <w:tcPr>
            <w:tcW w:type="dxa" w:w="3120"/>
          </w:tcPr>
          <w:p>
            <w:r>
              <w:rPr>
                <w:b/>
              </w:rPr>
              <w:t>Likelihood</w:t>
            </w:r>
          </w:p>
        </w:tc>
        <w:tc>
          <w:tcPr>
            <w:tcW w:type="dxa" w:w="3120"/>
          </w:tcPr>
          <w:p>
            <w:r>
              <w:rPr>
                <w:b/>
              </w:rPr>
              <w:t>Mitigation</w:t>
            </w:r>
          </w:p>
        </w:tc>
      </w:tr>
      <w:tr>
        <w:tc>
          <w:tcPr>
            <w:tcW w:type="dxa" w:w="3120"/>
          </w:tcPr>
          <w:p>
            <w:r>
              <w:t>Inconsistent M tagging across agencies</w:t>
            </w:r>
          </w:p>
        </w:tc>
        <w:tc>
          <w:tcPr>
            <w:tcW w:type="dxa" w:w="3120"/>
          </w:tcPr>
          <w:p>
            <w:r>
              <w:t>High</w:t>
            </w:r>
          </w:p>
        </w:tc>
        <w:tc>
          <w:tcPr>
            <w:tcW w:type="dxa" w:w="3120"/>
          </w:tcPr>
          <w:p>
            <w:r>
              <w:t>Recipient-grain rule (union of tags) absorbs single-agency under-tagging; co-tag stability check in Section 5.3.</w:t>
            </w:r>
          </w:p>
        </w:tc>
      </w:tr>
      <w:tr>
        <w:tc>
          <w:tcPr>
            <w:tcW w:type="dxa" w:w="3120"/>
          </w:tcPr>
          <w:p>
            <w:r>
              <w:t>FY25 outlays materially undercounted</w:t>
            </w:r>
          </w:p>
        </w:tc>
        <w:tc>
          <w:tcPr>
            <w:tcW w:type="dxa" w:w="3120"/>
          </w:tcPr>
          <w:p>
            <w:r>
              <w:t>High</w:t>
            </w:r>
          </w:p>
        </w:tc>
        <w:tc>
          <w:tcPr>
            <w:tcW w:type="dxa" w:w="3120"/>
          </w:tcPr>
          <w:p>
            <w:r>
              <w:t>Report as floor; show lag-sensitivity calibrated against FY24 history; archive snapshot lag captured in manifest.</w:t>
            </w:r>
          </w:p>
        </w:tc>
      </w:tr>
      <w:tr>
        <w:tc>
          <w:tcPr>
            <w:tcW w:type="dxa" w:w="3120"/>
          </w:tcPr>
          <w:p>
            <w:r>
              <w:t>Heuristic Educational/Hospital false positives</w:t>
            </w:r>
          </w:p>
        </w:tc>
        <w:tc>
          <w:tcPr>
            <w:tcW w:type="dxa" w:w="3120"/>
          </w:tcPr>
          <w:p>
            <w:r>
              <w:t>Medium</w:t>
            </w:r>
          </w:p>
        </w:tc>
        <w:tc>
          <w:tcPr>
            <w:tcW w:type="dxa" w:w="3120"/>
          </w:tcPr>
          <w:p>
            <w:r>
              <w:t>200-row random-sample audit per panel; precision target &gt;= 90%; reviewer log.</w:t>
            </w:r>
          </w:p>
        </w:tc>
      </w:tr>
      <w:tr>
        <w:tc>
          <w:tcPr>
            <w:tcW w:type="dxa" w:w="3120"/>
          </w:tcPr>
          <w:p>
            <w:r>
              <w:t>Heuristic Educational/Hospital false negatives</w:t>
            </w:r>
          </w:p>
        </w:tc>
        <w:tc>
          <w:tcPr>
            <w:tcW w:type="dxa" w:w="3120"/>
          </w:tcPr>
          <w:p>
            <w:r>
              <w:t>Medium</w:t>
            </w:r>
          </w:p>
        </w:tc>
        <w:tc>
          <w:tcPr>
            <w:tcW w:type="dxa" w:w="3120"/>
          </w:tcPr>
          <w:p>
            <w:r>
              <w:t>Documented as residual measurement error; cross-tab against full pipeline (when available) bounds it.</w:t>
            </w:r>
          </w:p>
        </w:tc>
      </w:tr>
      <w:tr>
        <w:tc>
          <w:tcPr>
            <w:tcW w:type="dxa" w:w="3120"/>
          </w:tcPr>
          <w:p>
            <w:r>
              <w:t>M-tag false positives (org tagged 501(c)(3) that isn’t)</w:t>
            </w:r>
          </w:p>
        </w:tc>
        <w:tc>
          <w:tcPr>
            <w:tcW w:type="dxa" w:w="3120"/>
          </w:tcPr>
          <w:p>
            <w:r>
              <w:t>Medium</w:t>
            </w:r>
          </w:p>
        </w:tc>
        <w:tc>
          <w:tcPr>
            <w:tcW w:type="dxa" w:w="3120"/>
          </w:tcPr>
          <w:p>
            <w:r>
              <w:t>Top-50-per-panel manual review against IRS Tax-Exempt Search; large false positives are caught.</w:t>
            </w:r>
          </w:p>
        </w:tc>
      </w:tr>
      <w:tr>
        <w:tc>
          <w:tcPr>
            <w:tcW w:type="dxa" w:w="3120"/>
          </w:tcPr>
          <w:p>
            <w:r>
              <w:t>Recipient parent/child rollup errors</w:t>
            </w:r>
          </w:p>
        </w:tc>
        <w:tc>
          <w:tcPr>
            <w:tcW w:type="dxa" w:w="3120"/>
          </w:tcPr>
          <w:p>
            <w:r>
              <w:t>Medium</w:t>
            </w:r>
          </w:p>
        </w:tc>
        <w:tc>
          <w:tcPr>
            <w:tcW w:type="dxa" w:w="3120"/>
          </w:tcPr>
          <w:p>
            <w:r>
              <w:t>Use USAspending recipient_profile parent UEI; flag exceptions in QA.</w:t>
            </w:r>
          </w:p>
        </w:tc>
      </w:tr>
      <w:tr>
        <w:tc>
          <w:tcPr>
            <w:tcW w:type="dxa" w:w="3120"/>
          </w:tcPr>
          <w:p>
            <w:r>
              <w:t>DUNS→UEI transition gaps in early FY22</w:t>
            </w:r>
          </w:p>
        </w:tc>
        <w:tc>
          <w:tcPr>
            <w:tcW w:type="dxa" w:w="3120"/>
          </w:tcPr>
          <w:p>
            <w:r>
              <w:t>Medium</w:t>
            </w:r>
          </w:p>
        </w:tc>
        <w:tc>
          <w:tcPr>
            <w:tcW w:type="dxa" w:w="3120"/>
          </w:tcPr>
          <w:p>
            <w:r>
              <w:t>Apply USAspending crosswalk; report residual rate.</w:t>
            </w:r>
          </w:p>
        </w:tc>
      </w:tr>
      <w:tr>
        <w:tc>
          <w:tcPr>
            <w:tcW w:type="dxa" w:w="3120"/>
          </w:tcPr>
          <w:p>
            <w:r>
              <w:t>International rule under-inclusion (no Q-series)</w:t>
            </w:r>
          </w:p>
        </w:tc>
        <w:tc>
          <w:tcPr>
            <w:tcW w:type="dxa" w:w="3120"/>
          </w:tcPr>
          <w:p>
            <w:r>
              <w:t>Medium</w:t>
            </w:r>
          </w:p>
        </w:tc>
        <w:tc>
          <w:tcPr>
            <w:tcW w:type="dxa" w:w="3120"/>
          </w:tcPr>
          <w:p>
            <w:r>
              <w:t>Documented Phase 1 trade-off; full pipeline’s NTEE Q-series rule when needed.</w:t>
            </w:r>
          </w:p>
        </w:tc>
      </w:tr>
      <w:tr>
        <w:tc>
          <w:tcPr>
            <w:tcW w:type="dxa" w:w="3120"/>
          </w:tcPr>
          <w:p>
            <w:r>
              <w:t>Reclassified award types between FYs</w:t>
            </w:r>
          </w:p>
        </w:tc>
        <w:tc>
          <w:tcPr>
            <w:tcW w:type="dxa" w:w="3120"/>
          </w:tcPr>
          <w:p>
            <w:r>
              <w:t>Low</w:t>
            </w:r>
          </w:p>
        </w:tc>
        <w:tc>
          <w:tcPr>
            <w:tcW w:type="dxa" w:w="3120"/>
          </w:tcPr>
          <w:p>
            <w:r>
              <w:t>Track award_type_code over the modification chain.</w:t>
            </w:r>
          </w:p>
        </w:tc>
      </w:tr>
      <w:tr>
        <w:tc>
          <w:tcPr>
            <w:tcW w:type="dxa" w:w="3120"/>
          </w:tcPr>
          <w:p>
            <w:r>
              <w:t>Status revocation during the window</w:t>
            </w:r>
          </w:p>
        </w:tc>
        <w:tc>
          <w:tcPr>
            <w:tcW w:type="dxa" w:w="3120"/>
          </w:tcPr>
          <w:p>
            <w:r>
              <w:t>Low (undetectable here)</w:t>
            </w:r>
          </w:p>
        </w:tc>
        <w:tc>
          <w:tcPr>
            <w:tcW w:type="dxa" w:w="3120"/>
          </w:tcPr>
          <w:p>
            <w:r>
              <w:t>Documented limitation; only the BMF-backed methodology can detect this.</w:t>
            </w:r>
          </w:p>
        </w:tc>
      </w:tr>
    </w:tbl>
    <w:p>
      <w:pPr>
        <w:pStyle w:val="Heading1"/>
      </w:pPr>
      <w:r>
        <w:t>13. Reconciliation with Full BMF-Backed Pipeline</w:t>
      </w:r>
    </w:p>
    <w:p>
      <w:r>
        <w:rPr>
          <w:b w:val="0"/>
          <w:i w:val="0"/>
        </w:rPr>
        <w:t>When the full IRS-BMF-backed pipeline has run in the same project tree (processed/assistance_txn_501c3.parquet exists), an optional QA exhibit reports lightweight Topline vs. BMF-backed Topline by FY:</w:t>
      </w:r>
    </w:p>
    <w:p>
      <w:pPr>
        <w:pStyle w:val="ListBullet"/>
      </w:pPr>
      <w:r>
        <w:t>Per-FY: nominal obligations, real obligations (FY25 base), unique recipients, transaction count, on both methodologies.</w:t>
      </w:r>
    </w:p>
    <w:p>
      <w:pPr>
        <w:pStyle w:val="ListBullet"/>
      </w:pPr>
      <w:r>
        <w:t>Per-FY delta: lightweight - BMF, in dollars and as a percentage.</w:t>
      </w:r>
    </w:p>
    <w:p>
      <w:pPr>
        <w:pStyle w:val="ListBullet"/>
      </w:pPr>
      <w:r>
        <w:t>Per-panel comparison: same numbers split by Topline_Core / Educational / Hospital / International.</w:t>
      </w:r>
    </w:p>
    <w:p>
      <w:pPr>
        <w:pStyle w:val="ListBullet"/>
      </w:pPr>
      <w:r>
        <w:t>Recipient-set Venn: how many recipients are in the lightweight set only, BMF set only, both.</w:t>
      </w:r>
    </w:p>
    <w:p>
      <w:r>
        <w:rPr>
          <w:b w:val="0"/>
          <w:i w:val="0"/>
        </w:rPr>
        <w:t>Expected pattern: lightweight Topline will be a strict subset of the BMF-backed Topline at the recipient level (an org tagged M in USAspending is not guaranteed to be in BMF, and vice versa). The delta is informative but is not a quality benchmark — both methods have known limitations.</w:t>
      </w:r>
    </w:p>
    <w:p>
      <w:pPr>
        <w:pStyle w:val="Heading1"/>
      </w:pPr>
      <w:r>
        <w:t>14. Indicative Timeline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Phase</w:t>
            </w:r>
          </w:p>
        </w:tc>
        <w:tc>
          <w:tcPr>
            <w:tcW w:type="dxa" w:w="3120"/>
          </w:tcPr>
          <w:p>
            <w:r>
              <w:rPr>
                <w:b/>
              </w:rPr>
              <w:t>Effort (days)</w:t>
            </w:r>
          </w:p>
        </w:tc>
        <w:tc>
          <w:tcPr>
            <w:tcW w:type="dxa" w:w="3120"/>
          </w:tcPr>
          <w:p>
            <w:r>
              <w:rPr>
                <w:b/>
              </w:rPr>
              <w:t>Deliverable</w:t>
            </w:r>
          </w:p>
        </w:tc>
      </w:tr>
      <w:tr>
        <w:tc>
          <w:tcPr>
            <w:tcW w:type="dxa" w:w="3120"/>
          </w:tcPr>
          <w:p>
            <w:r>
              <w:t>Data acquisition (USAspending Award Data Archive)</w:t>
            </w:r>
          </w:p>
        </w:tc>
        <w:tc>
          <w:tcPr>
            <w:tcW w:type="dxa" w:w="3120"/>
          </w:tcPr>
          <w:p>
            <w:r>
              <w:t>0.25–0.5</w:t>
            </w:r>
          </w:p>
        </w:tc>
        <w:tc>
          <w:tcPr>
            <w:tcW w:type="dxa" w:w="3120"/>
          </w:tcPr>
          <w:p>
            <w:r>
              <w:t>Raw zips + manifest</w:t>
            </w:r>
          </w:p>
        </w:tc>
      </w:tr>
      <w:tr>
        <w:tc>
          <w:tcPr>
            <w:tcW w:type="dxa" w:w="3120"/>
          </w:tcPr>
          <w:p>
            <w:r>
              <w:t>Recipient identification (M-rule)</w:t>
            </w:r>
          </w:p>
        </w:tc>
        <w:tc>
          <w:tcPr>
            <w:tcW w:type="dxa" w:w="3120"/>
          </w:tcPr>
          <w:p>
            <w:r>
              <w:t>0.25</w:t>
            </w:r>
          </w:p>
        </w:tc>
        <w:tc>
          <w:tcPr>
            <w:tcW w:type="dxa" w:w="3120"/>
          </w:tcPr>
          <w:p>
            <w:r>
              <w:t>recipient_filter table</w:t>
            </w:r>
          </w:p>
        </w:tc>
      </w:tr>
      <w:tr>
        <w:tc>
          <w:tcPr>
            <w:tcW w:type="dxa" w:w="3120"/>
          </w:tcPr>
          <w:p>
            <w:r>
              <w:t>Panel classification + manual review</w:t>
            </w:r>
          </w:p>
        </w:tc>
        <w:tc>
          <w:tcPr>
            <w:tcW w:type="dxa" w:w="3120"/>
          </w:tcPr>
          <w:p>
            <w:r>
              <w:t>1–2</w:t>
            </w:r>
          </w:p>
        </w:tc>
        <w:tc>
          <w:tcPr>
            <w:tcW w:type="dxa" w:w="3120"/>
          </w:tcPr>
          <w:p>
            <w:r>
              <w:t>category_assignment + reviewer log</w:t>
            </w:r>
          </w:p>
        </w:tc>
      </w:tr>
      <w:tr>
        <w:tc>
          <w:tcPr>
            <w:tcW w:type="dxa" w:w="3120"/>
          </w:tcPr>
          <w:p>
            <w:r>
              <w:t>Analytic table assembly</w:t>
            </w:r>
          </w:p>
        </w:tc>
        <w:tc>
          <w:tcPr>
            <w:tcW w:type="dxa" w:w="3120"/>
          </w:tcPr>
          <w:p>
            <w:r>
              <w:t>0.25</w:t>
            </w:r>
          </w:p>
        </w:tc>
        <w:tc>
          <w:tcPr>
            <w:tcW w:type="dxa" w:w="3120"/>
          </w:tcPr>
          <w:p>
            <w:r>
              <w:t>assistance_txn_501c3_lightweight + assistance_awards_501c3_lightweight</w:t>
            </w:r>
          </w:p>
        </w:tc>
      </w:tr>
      <w:tr>
        <w:tc>
          <w:tcPr>
            <w:tcW w:type="dxa" w:w="3120"/>
          </w:tcPr>
          <w:p>
            <w:r>
              <w:t>Headline aggregations (4 panels)</w:t>
            </w:r>
          </w:p>
        </w:tc>
        <w:tc>
          <w:tcPr>
            <w:tcW w:type="dxa" w:w="3120"/>
          </w:tcPr>
          <w:p>
            <w:r>
              <w:t>0.5</w:t>
            </w:r>
          </w:p>
        </w:tc>
        <w:tc>
          <w:tcPr>
            <w:tcW w:type="dxa" w:w="3120"/>
          </w:tcPr>
          <w:p>
            <w:r>
              <w:t>Exhibits 1–10 × panels</w:t>
            </w:r>
          </w:p>
        </w:tc>
      </w:tr>
      <w:tr>
        <w:tc>
          <w:tcPr>
            <w:tcW w:type="dxa" w:w="3120"/>
          </w:tcPr>
          <w:p>
            <w:r>
              <w:t>Sub-category and cross-tab exhibits</w:t>
            </w:r>
          </w:p>
        </w:tc>
        <w:tc>
          <w:tcPr>
            <w:tcW w:type="dxa" w:w="3120"/>
          </w:tcPr>
          <w:p>
            <w:r>
              <w:t>0.5</w:t>
            </w:r>
          </w:p>
        </w:tc>
        <w:tc>
          <w:tcPr>
            <w:tcW w:type="dxa" w:w="3120"/>
          </w:tcPr>
          <w:p>
            <w:r>
              <w:t>Exhibits 11–14</w:t>
            </w:r>
          </w:p>
        </w:tc>
      </w:tr>
      <w:tr>
        <w:tc>
          <w:tcPr>
            <w:tcW w:type="dxa" w:w="3120"/>
          </w:tcPr>
          <w:p>
            <w:r>
              <w:t>Decomposition + robustness</w:t>
            </w:r>
          </w:p>
        </w:tc>
        <w:tc>
          <w:tcPr>
            <w:tcW w:type="dxa" w:w="3120"/>
          </w:tcPr>
          <w:p>
            <w:r>
              <w:t>0.5</w:t>
            </w:r>
          </w:p>
        </w:tc>
        <w:tc>
          <w:tcPr>
            <w:tcW w:type="dxa" w:w="3120"/>
          </w:tcPr>
          <w:p>
            <w:r>
              <w:t>Shift-share, hierarchy sensitivity</w:t>
            </w:r>
          </w:p>
        </w:tc>
      </w:tr>
      <w:tr>
        <w:tc>
          <w:tcPr>
            <w:tcW w:type="dxa" w:w="3120"/>
          </w:tcPr>
          <w:p>
            <w:r>
              <w:t>Precision audit (Hospital + Educational, 200 rows each)</w:t>
            </w:r>
          </w:p>
        </w:tc>
        <w:tc>
          <w:tcPr>
            <w:tcW w:type="dxa" w:w="3120"/>
          </w:tcPr>
          <w:p>
            <w:r>
              <w:t>1</w:t>
            </w:r>
          </w:p>
        </w:tc>
        <w:tc>
          <w:tcPr>
            <w:tcW w:type="dxa" w:w="3120"/>
          </w:tcPr>
          <w:p>
            <w:r>
              <w:t>Reviewer log</w:t>
            </w:r>
          </w:p>
        </w:tc>
      </w:tr>
      <w:tr>
        <w:tc>
          <w:tcPr>
            <w:tcW w:type="dxa" w:w="3120"/>
          </w:tcPr>
          <w:p>
            <w:r>
              <w:t>Write-up and review</w:t>
            </w:r>
          </w:p>
        </w:tc>
        <w:tc>
          <w:tcPr>
            <w:tcW w:type="dxa" w:w="3120"/>
          </w:tcPr>
          <w:p>
            <w:r>
              <w:t>1–2</w:t>
            </w:r>
          </w:p>
        </w:tc>
        <w:tc>
          <w:tcPr>
            <w:tcW w:type="dxa" w:w="3120"/>
          </w:tcPr>
          <w:p>
            <w:r>
              <w:t>Final report</w:t>
            </w:r>
          </w:p>
        </w:tc>
      </w:tr>
    </w:tbl>
    <w:p>
      <w:r>
        <w:rPr>
          <w:b w:val="0"/>
          <w:i w:val="0"/>
        </w:rPr>
        <w:t>End-to-end Phase 1 wall time is dominated by the 200-row precision audits and the top-50-per-panel review. The compute portion is ~15–30 minutes.</w:t>
      </w:r>
    </w:p>
    <w:p>
      <w:pPr>
        <w:pStyle w:val="Heading1"/>
      </w:pPr>
      <w:r>
        <w:t>15. Resolved Open Questions</w:t>
      </w:r>
    </w:p>
    <w:p>
      <w:r>
        <w:rPr>
          <w:b w:val="0"/>
          <w:i w:val="0"/>
        </w:rPr>
        <w:t>The following design decisions were locked at methodology approval:</w:t>
      </w:r>
    </w:p>
    <w:p>
      <w:pPr>
        <w:pStyle w:val="ListBullet"/>
      </w:pPr>
      <w:r>
        <w:t>Codes S (Hispanic-Serving Institution) and V (Alaska Native and Native Hawaiian Serving Institutions) are added to the exclusion list, parallel to T (HBCU) and U (TCCU).</w:t>
      </w:r>
    </w:p>
    <w:p>
      <w:pPr>
        <w:pStyle w:val="ListBullet"/>
      </w:pPr>
      <w:r>
        <w:t>Four-panel structure with heuristic carve-outs (Option B from the design discussion). Educational and Hospital panels are reported with mandatory precision audits.</w:t>
      </w:r>
    </w:p>
    <w:p>
      <w:pPr>
        <w:pStyle w:val="ListBullet"/>
      </w:pPr>
      <w:r>
        <w:t>Manual review budget: top 50 per panel (4 panels × 50 = 200 manual checks) plus 200-row random-sample audits on Hospital and Educational heuristic flags.</w:t>
      </w:r>
    </w:p>
    <w:p>
      <w:pPr>
        <w:pStyle w:val="ListBullet"/>
      </w:pPr>
      <w:r>
        <w:t>Outlay allocation: award-vintage FY, identical to the full methodology.</w:t>
      </w:r>
    </w:p>
    <w:p>
      <w:pPr>
        <w:pStyle w:val="ListBullet"/>
      </w:pPr>
      <w:r>
        <w:t>Sub-award (FFATA) data: out of scope.</w:t>
      </w:r>
    </w:p>
    <w:p>
      <w:pPr>
        <w:pStyle w:val="ListBullet"/>
      </w:pPr>
      <w:r>
        <w:t>Reconciliation exhibit (lightweight Topline vs. BMF Topline): produced as a deprioritized polish artifact when the full pipeline’s outputs are available.</w:t>
      </w:r>
    </w:p>
    <w:p>
      <w:pPr>
        <w:pStyle w:val="ListBullet"/>
      </w:pPr>
      <w:r>
        <w:t>Real-dollar adjustment: CPI-U with FY25 base; GDP price deflator as sensitivity.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