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Intellitax Auto-Categorisation Engine</w:t>
      </w:r>
    </w:p>
    <w:p>
      <w:pPr>
        <w:spacing w:after="4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Conceptual Specification v0.1</w:t>
      </w:r>
    </w:p>
    <w:p>
      <w:pPr>
        <w:pBdr>
          <w:bottom w:val="single" w:color="2E5090" w:sz="6" w:space="1"/>
        </w:pBd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  |  DRAFT  |  Intellitax Accounting Limited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lightweight, local-first auto-categorisation engine for pre-posting transaction categorisation. Designed for small clients (PHV drivers initially) where commercial bookkeeping software is overkill. No client data is exposed to third-party LLMs or cloud services.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engine serves two functions: pre-categorising transactions before they are posted to the client ledger (spreadsheet), and building a firm-level dataset of vendor-to-category mappings that compounds in value across engagements.</w:t>
      </w:r>
    </w:p>
    <w:p>
      <w:pPr>
        <w:pStyle w:val="Heading1"/>
      </w:pPr>
      <w:r>
        <w:t xml:space="preserve">2. Context and Inspiration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architecture draws on the Digits Agentic General Ledger concept, specifically their three-tier AI model structure (company-level, firm-level, global) and their approach to data isolation between firms. This spec adapts those principles for a small UK practice without requiring ML infrastructure.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principle: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categorisation intelligence is built from lookup tables and fuzzy string matching. No machine learning models, no LLM API calls, no third-party data processing.</w:t>
      </w:r>
    </w:p>
    <w:p>
      <w:pPr>
        <w:pStyle w:val="Heading1"/>
      </w:pPr>
      <w:r>
        <w:t xml:space="preserve">3. Architecture</w:t>
      </w:r>
    </w:p>
    <w:p>
      <w:pPr>
        <w:pStyle w:val="Heading2"/>
      </w:pPr>
      <w:r>
        <w:t xml:space="preserve">3.1 Three-Layer Lookup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lookup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client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Vendor → nominal code mappings built from that client’s categorised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Firm lookup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clients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Vendor → nominal code mappings aggregated across all clients, segmented by business type. No client identifiers, no amounts, no 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Fuzzy matching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similarity matching when exact vendor key not found in either lookup table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 flow: incoming transaction → normalise description → extract vendor key → check client lookup (exact) → check firm lookup (exact) → check client lookup (fuzzy) → check firm lookup (fuzzy) → unmatched.</w:t>
      </w:r>
    </w:p>
    <w:p>
      <w:pPr>
        <w:pStyle w:val="Heading2"/>
      </w:pPr>
      <w:r>
        <w:t xml:space="preserve">3.2 Confidence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Exact match in client or firm lookup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Auto-categorise, no review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Fuzzy match with similarity score ≥ 0.80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Suggest category, flag for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Fuzzy match with similarity score 0.70–0.79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Suggest category, flag for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match found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 to accountant with no suggestion</w:t>
            </w:r>
          </w:p>
        </w:tc>
      </w:tr>
    </w:tbl>
    <w:p>
      <w:pPr>
        <w:pStyle w:val="Heading2"/>
      </w:pPr>
      <w:r>
        <w:t xml:space="preserve">3.3 Business Type Subsets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firm-level lookup is segmented by business type. The same vendor may map to different nominal codes depending on the client’s business type. For example, Shell maps to Cost of Sales – Fuel for a PHV driver but Motor Expenses for a consultant.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 business types: PHV Driver, Sole Trader (General), Micro-entity Limited Company. Additional types added as the client base develops.</w:t>
      </w:r>
    </w:p>
    <w:p>
      <w:pPr>
        <w:pStyle w:val="Heading1"/>
      </w:pPr>
      <w:r>
        <w:t xml:space="preserve">4. Input Channels</w:t>
      </w:r>
    </w:p>
    <w:p>
      <w:pPr>
        <w:pStyle w:val="Heading2"/>
      </w:pPr>
      <w:r>
        <w:t xml:space="preserve">4.1 Receipt Capture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Python script extracts vendor, date, amount, and VAT from receipt images. The auto-categorisation engine receives this extracted data and assigns a nominal code before the transaction is posted to the client spreadsheet.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Status: Receipt capture script exists. Categorisation integration not yet built.</w:t>
      </w:r>
    </w:p>
    <w:p>
      <w:pPr>
        <w:pStyle w:val="Heading2"/>
      </w:pPr>
      <w:r>
        <w:t xml:space="preserve">4.2 Bank Statement Parser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Python script parses bank statement PDFs and extracts transaction data (date, description, amount). The auto-categorisation engine processes the parsed output and assigns nominal codes.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Status: Bank statement parser exists. Categorisation integration not yet built.</w:t>
      </w:r>
    </w:p>
    <w:p>
      <w:pPr>
        <w:pStyle w:val="Heading2"/>
      </w:pPr>
      <w:r>
        <w:t xml:space="preserve">4.3 Output Format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channels produce the same output: a CSV file with columns for date, description, amount, VAT (where available), nominal code, account name, confidence level, and review flag. This CSV is the pre-categorised transaction list ready for posting to the client spreadsheet.</w:t>
      </w:r>
    </w:p>
    <w:p>
      <w:pPr>
        <w:pStyle w:val="Heading1"/>
      </w:pPr>
      <w:r>
        <w:t xml:space="preserve">5. Data Governance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Principle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client data in firm lookup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Firm-level table contains only vendor names and nominal codes. No amounts, dates, client identifiers, or transaction details.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data stays local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lookup tables and transaction history stored on the processing machine only. Never uploaded to cloud or Notion.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Firm lookup in Notion (permitted)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Vendor → nominal code mappings by business type contain no client data. Consistent with existing Notion data governance rules.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third-party LLM exposure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categorisation logic runs locally. No API calls to OpenAI, Anthropic, or any external AI service.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correction logged with timestamp, original description, vendor key, nominal code, and amount in a per-client history file.</w:t>
            </w:r>
          </w:p>
        </w:tc>
      </w:tr>
    </w:tbl>
    <w:p>
      <w:pPr>
        <w:pStyle w:val="Heading1"/>
      </w:pPr>
      <w:r>
        <w:t xml:space="preserve">6. Learning Loop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engine improves over time through a feedback loop: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Seed: Prior year categorised transactions populate the client and firm lookup tables at the start of each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Correct: During transaction review, corrections update both the client lookup (always) and the firm lookup (if no conflict exists).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Conflict handling: If the same vendor maps to different nominal codes across clients with the same business type, the conflict is flagged for manual review rather than overwritten.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Compound: Each completed engagement adds to the firm-level dataset. New clients of the same business type benefit from day one.</w:t>
      </w:r>
    </w:p>
    <w:p>
      <w:pPr>
        <w:pStyle w:val="Heading1"/>
      </w:pPr>
      <w:r>
        <w:t xml:space="preserve">7. Hosting and Deployment</w:t>
      </w:r>
    </w:p>
    <w:p>
      <w:pPr>
        <w:pStyle w:val="Heading2"/>
      </w:pPr>
      <w:r>
        <w:t xml:space="preserve">7.1 Current State: Local Only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Engine runs as a Python script on the accountant’s machine. All data stored locally. No cloud infrastructure required.</w:t>
      </w:r>
    </w:p>
    <w:p>
      <w:pPr>
        <w:pStyle w:val="Heading2"/>
      </w:pPr>
      <w:r>
        <w:t xml:space="preserve">7.2 Subcontractor Scenario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subcontractors are introduced, the deployment model 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Firm-level lookup: hosted in Notion (no client data, vendor → nominal code only) or as a shared file via secure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Client-level data: stays on the subcontractor’s local machine. Never centralised.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Engine code: distributed as a packaged executable (PyInstaller) to protect IP. Subcontractor runs the tool but cannot inspect source code.</w:t>
      </w:r>
    </w:p>
    <w:p>
      <w:pPr>
        <w:pStyle w:val="Heading2"/>
      </w:pPr>
      <w:r>
        <w:t xml:space="preserve">7.3 Future: Cloud Hosting (AWS)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practice scales beyond one or two subcontractors, or if the engine is offered as a service: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AWS Lambda (serverless) for the categorisation API. Subcontractor uploads CSV, API returns categorised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AWS S3 for per-client encrypted storage (separate encryption keys per client, AES-256).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Firm-level lookup served from S3 or DynamoDB, accessible to authorised users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Estimated cost at small practice scale: minimal (pennies per month for compute and storage).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Status: Not required yet. Move to AWS when subcontractor base exceeds 1–2 or when offering as a service to other practices.</w:t>
      </w:r>
    </w:p>
    <w:p>
      <w:pPr>
        <w:pStyle w:val="Heading1"/>
      </w:pPr>
      <w:r>
        <w:t xml:space="preserve">8. IP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 1: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 engine on AWS. Subcontractor never sees code or firm lookup.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Strongest. Recommended at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 2: Packaged executable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 compiled Python (PyInstaller). Source not directly visible.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Good. Sufficient for small subcontractor 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 3: Contract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 source code. Rely on subcontractor agreement.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Weakest. Simplest operationally.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Start with Option 2 (packaged tool + contract) while the subcontractor base is small. Move to Option 1 (AWS-hosted API) if scaling beyond one or two subcontractors.</w:t>
      </w:r>
    </w:p>
    <w:p>
      <w:pPr>
        <w:pStyle w:val="Heading1"/>
      </w:pPr>
      <w:r>
        <w:t xml:space="preserve">9. Target Ledger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small PHV clients, the ledger is a spreadsheet. The auto-categorisation engine produces a pre-categorised CSV that is posted (imported or manually entered) into the client spreadsheet. For MTD clients, the same spreadsheet feeds a third-party bridging solution for quarterly updates.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commercial bookkeeping software (FreeAgent, QBO, Xero) is required for this client tier. The spreadsheet-based approach keeps costs proportionate to the client’s turnover and complexity.</w:t>
      </w:r>
    </w:p>
    <w:p>
      <w:pPr>
        <w:pStyle w:val="Heading1"/>
      </w:pPr>
      <w:r>
        <w:t xml:space="preserve">10. Working Prototype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working Python prototype (categorisation_engine.py) was built and tested during this design session. The prototype demonstrates all three lookup layers, fuzzy matching, the learning loop, and cross-client firm-level learning. It processed sample PHV driver transactions with 70% auto-categorisation from seeded prior year data, rising to 60% for a brand-new client with no history using firm-level data alone.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Status: Prototype complete. Not yet integrated with receipt capture or bank statement parser scripts.</w:t>
      </w:r>
    </w:p>
    <w:p>
      <w:pPr>
        <w:pStyle w:val="Heading1"/>
      </w:pPr>
      <w:r>
        <w:t xml:space="preserve">11. Next Steps (When 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business type field to firm lookup data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categorisation engine with existing receipt capture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categorisation engine with existing bank statement parser.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the client spreadsheet template for PHV drivers (column structure, nominal code list).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 the firm lookup with a PHV driver template based on PKPH transaction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end-to-end flow: receipt photo → extract → categorise → post to spreadsheet.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Package as executable for subcontractor distribution (when required).</w:t>
      </w:r>
    </w:p>
    <w:p>
      <w:pPr>
        <w:pStyle w:val="Heading1"/>
      </w:pPr>
      <w:r>
        <w:t xml:space="preserve">12. Related Work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spec sits alongside the main accounts workflow project (Variants 1–5). The categorisation engine is not part of those workflows but could serve as a pre-processing tool for Stage 3 (Data Verification) in future, and as the foundation of a low-cost bookkeeping service for small clients outside the standard workflow.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2026-04-09T08:56:30.457Z</dcterms:created>
  <dcterms:modified xsi:type="dcterms:W3CDTF">2026-04-09T08:56:30.458Z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