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Adviesrapport Puntensysteem</w:t>
      </w:r>
    </w:p>
    <w:p>
      <w:pPr>
        <w:spacing w:after="120"/>
        <w:jc w:val="center"/>
      </w:pPr>
      <w:r>
        <w:rPr>
          <w:color w:val="718096"/>
          <w:sz w:val="28"/>
          <w:szCs w:val="28"/>
        </w:rPr>
        <w:t xml:space="preserve">KlusjesKoning - Optimalisatie Aanbevelingen</w:t>
      </w:r>
    </w:p>
    <w:p>
      <w:pPr>
        <w:spacing w:after="400"/>
        <w:jc w:val="center"/>
      </w:pPr>
      <w:r>
        <w:rPr>
          <w:i/>
          <w:iCs/>
          <w:color w:val="a0aec0"/>
          <w:sz w:val="22"/>
          <w:szCs w:val="22"/>
        </w:rPr>
        <w:t xml:space="preserve">Versie 1.0 | November 2025</w:t>
      </w:r>
    </w:p>
    <w:p>
      <w:pPr>
        <w:pStyle w:val="Heading1"/>
      </w:pPr>
      <w:r>
        <w:t xml:space="preserve">Executive Summary</w:t>
      </w:r>
    </w:p>
    <w:p>
      <w:pPr>
        <w:spacing w:after="200"/>
      </w:pPr>
      <w:r>
        <w:t xml:space="preserve">Het puntensysteem van KlusjesKoning vormt een solide basis voor gamificatie, maar kent drie kerngebieden waar optimalisatie de gebruikerservaring en systeemintegriteit significant kan verbeteren. Dit rapport presenteert concrete implementatiestrategieën voor elk gebied, inclusief technische specificaties en verwachte impact.</w:t>
      </w:r>
    </w:p>
    <w:p>
      <w:pPr>
        <w:pStyle w:val="Heading1"/>
      </w:pPr>
      <w:r>
        <w:t xml:space="preserve">1. XP/Punten-Architectuur</w:t>
      </w:r>
    </w:p>
    <w:p>
      <w:pPr>
        <w:pStyle w:val="Heading2"/>
      </w:pPr>
      <w:r>
        <w:t xml:space="preserve">Probleemanalyse</w:t>
      </w:r>
    </w:p>
    <w:p>
      <w:pPr>
        <w:spacing w:after="200"/>
      </w:pPr>
      <w:r>
        <w:t xml:space="preserve">De huidige implementatie behandelt punten en XP als gescheiden systemen zonder duidelijke relatie. De database bevat velden voor beide (</w:t>
      </w:r>
      <w:r>
        <w:rPr>
          <w:i/>
          <w:iCs/>
        </w:rPr>
        <w:t xml:space="preserve">points</w:t>
      </w:r>
      <w:r>
        <w:t xml:space="preserve">, </w:t>
      </w:r>
      <w:r>
        <w:rPr>
          <w:i/>
          <w:iCs/>
        </w:rPr>
        <w:t xml:space="preserve">xp</w:t>
      </w:r>
      <w:r>
        <w:t xml:space="preserve">, </w:t>
      </w:r>
      <w:r>
        <w:rPr>
          <w:i/>
          <w:iCs/>
        </w:rPr>
        <w:t xml:space="preserve">total_points_ever</w:t>
      </w:r>
      <w:r>
        <w:t xml:space="preserve">, </w:t>
      </w:r>
      <w:r>
        <w:rPr>
          <w:i/>
          <w:iCs/>
        </w:rPr>
        <w:t xml:space="preserve">total_xp_ever</w:t>
      </w:r>
      <w:r>
        <w:t xml:space="preserve">), maar de documentatie specificeert niet wanneer elk wordt toegekend of hoe ze interacteren. Dit leidt tot inconsistente verwachtingen bij gebruikers en potentiële verwarring over progressie.</w:t>
      </w:r>
    </w:p>
    <w:p>
      <w:pPr>
        <w:pStyle w:val="Heading2"/>
      </w:pPr>
      <w:r>
        <w:t xml:space="preserve">Aanbevolen Architectuur</w:t>
      </w:r>
    </w:p>
    <w:p>
      <w:pPr>
        <w:spacing w:after="120"/>
      </w:pPr>
      <w:r>
        <w:t xml:space="preserve">Implementeer een duaal-valuta model met duidelijke functionele scheiding: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Aspect</w:t>
            </w:r>
          </w:p>
        </w:tc>
        <w:tc>
          <w:tcPr>
            <w:tcW w:type="dxa" w:w="312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Punten</w:t>
            </w:r>
          </w:p>
        </w:tc>
        <w:tc>
          <w:tcPr>
            <w:tcW w:type="dxa" w:w="312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XP</w:t>
            </w:r>
          </w:p>
        </w:tc>
      </w:tr>
      <w:tr>
        <w:tc>
          <w:tcPr>
            <w:tcW w:type="dxa" w:w="3120"/>
            <w:tcBorders>
              <w:top w:val="single" w:color="CCCCCC" w:sz="1"/>
              <w:left w:val="single" w:color="CCCCCC" w:sz="1"/>
              <w:bottom w:val="single" w:color="CCCCCC" w:sz="1"/>
              <w:right w:val="single" w:color="CCCCCC" w:sz="1"/>
            </w:tcBorders>
          </w:tcPr>
          <w:p>
            <w:r>
              <w:rPr>
                <w:b/>
                <w:bCs/>
              </w:rPr>
              <w:t xml:space="preserve">Primaire functie</w:t>
            </w:r>
          </w:p>
        </w:tc>
        <w:tc>
          <w:tcPr>
            <w:tcW w:type="dxa" w:w="3120"/>
            <w:tcBorders>
              <w:top w:val="single" w:color="CCCCCC" w:sz="1"/>
              <w:left w:val="single" w:color="CCCCCC" w:sz="1"/>
              <w:bottom w:val="single" w:color="CCCCCC" w:sz="1"/>
              <w:right w:val="single" w:color="CCCCCC" w:sz="1"/>
            </w:tcBorders>
          </w:tcPr>
          <w:p>
            <w:r>
              <w:t xml:space="preserve">Uitgavevaluta voor beloningen</w:t>
            </w:r>
          </w:p>
        </w:tc>
        <w:tc>
          <w:tcPr>
            <w:tcW w:type="dxa" w:w="3120"/>
            <w:tcBorders>
              <w:top w:val="single" w:color="CCCCCC" w:sz="1"/>
              <w:left w:val="single" w:color="CCCCCC" w:sz="1"/>
              <w:bottom w:val="single" w:color="CCCCCC" w:sz="1"/>
              <w:right w:val="single" w:color="CCCCCC" w:sz="1"/>
            </w:tcBorders>
          </w:tcPr>
          <w:p>
            <w:r>
              <w:t xml:space="preserve">Permanente progressie-indicator</w:t>
            </w:r>
          </w:p>
        </w:tc>
      </w:tr>
      <w:tr>
        <w:tc>
          <w:tcPr>
            <w:tcW w:type="dxa" w:w="3120"/>
            <w:tcBorders>
              <w:top w:val="single" w:color="CCCCCC" w:sz="1"/>
              <w:left w:val="single" w:color="CCCCCC" w:sz="1"/>
              <w:bottom w:val="single" w:color="CCCCCC" w:sz="1"/>
              <w:right w:val="single" w:color="CCCCCC" w:sz="1"/>
            </w:tcBorders>
          </w:tcPr>
          <w:p>
            <w:r>
              <w:rPr>
                <w:b/>
                <w:bCs/>
              </w:rPr>
              <w:t xml:space="preserve">Kan afnemen?</w:t>
            </w:r>
          </w:p>
        </w:tc>
        <w:tc>
          <w:tcPr>
            <w:tcW w:type="dxa" w:w="3120"/>
            <w:tcBorders>
              <w:top w:val="single" w:color="CCCCCC" w:sz="1"/>
              <w:left w:val="single" w:color="CCCCCC" w:sz="1"/>
              <w:bottom w:val="single" w:color="CCCCCC" w:sz="1"/>
              <w:right w:val="single" w:color="CCCCCC" w:sz="1"/>
            </w:tcBorders>
          </w:tcPr>
          <w:p>
            <w:r>
              <w:t xml:space="preserve">Ja (bij uitgaven)</w:t>
            </w:r>
          </w:p>
        </w:tc>
        <w:tc>
          <w:tcPr>
            <w:tcW w:type="dxa" w:w="3120"/>
            <w:tcBorders>
              <w:top w:val="single" w:color="CCCCCC" w:sz="1"/>
              <w:left w:val="single" w:color="CCCCCC" w:sz="1"/>
              <w:bottom w:val="single" w:color="CCCCCC" w:sz="1"/>
              <w:right w:val="single" w:color="CCCCCC" w:sz="1"/>
            </w:tcBorders>
          </w:tcPr>
          <w:p>
            <w:r>
              <w:t xml:space="preserve">Nooit</w:t>
            </w:r>
          </w:p>
        </w:tc>
      </w:tr>
      <w:tr>
        <w:tc>
          <w:tcPr>
            <w:tcW w:type="dxa" w:w="3120"/>
            <w:tcBorders>
              <w:top w:val="single" w:color="CCCCCC" w:sz="1"/>
              <w:left w:val="single" w:color="CCCCCC" w:sz="1"/>
              <w:bottom w:val="single" w:color="CCCCCC" w:sz="1"/>
              <w:right w:val="single" w:color="CCCCCC" w:sz="1"/>
            </w:tcBorders>
          </w:tcPr>
          <w:p>
            <w:r>
              <w:rPr>
                <w:b/>
                <w:bCs/>
              </w:rPr>
              <w:t xml:space="preserve">Ontgrendelt</w:t>
            </w:r>
          </w:p>
        </w:tc>
        <w:tc>
          <w:tcPr>
            <w:tcW w:type="dxa" w:w="3120"/>
            <w:tcBorders>
              <w:top w:val="single" w:color="CCCCCC" w:sz="1"/>
              <w:left w:val="single" w:color="CCCCCC" w:sz="1"/>
              <w:bottom w:val="single" w:color="CCCCCC" w:sz="1"/>
              <w:right w:val="single" w:color="CCCCCC" w:sz="1"/>
            </w:tcBorders>
          </w:tcPr>
          <w:p>
            <w:r>
              <w:t xml:space="preserve">Fysieke/virtuele beloningen</w:t>
            </w:r>
          </w:p>
        </w:tc>
        <w:tc>
          <w:tcPr>
            <w:tcW w:type="dxa" w:w="3120"/>
            <w:tcBorders>
              <w:top w:val="single" w:color="CCCCCC" w:sz="1"/>
              <w:left w:val="single" w:color="CCCCCC" w:sz="1"/>
              <w:bottom w:val="single" w:color="CCCCCC" w:sz="1"/>
              <w:right w:val="single" w:color="CCCCCC" w:sz="1"/>
            </w:tcBorders>
          </w:tcPr>
          <w:p>
            <w:r>
              <w:t xml:space="preserve">Levels, badges, avatar-items</w:t>
            </w:r>
          </w:p>
        </w:tc>
      </w:tr>
      <w:tr>
        <w:tc>
          <w:tcPr>
            <w:tcW w:type="dxa" w:w="3120"/>
            <w:tcBorders>
              <w:top w:val="single" w:color="CCCCCC" w:sz="1"/>
              <w:left w:val="single" w:color="CCCCCC" w:sz="1"/>
              <w:bottom w:val="single" w:color="CCCCCC" w:sz="1"/>
              <w:right w:val="single" w:color="CCCCCC" w:sz="1"/>
            </w:tcBorders>
          </w:tcPr>
          <w:p>
            <w:r>
              <w:rPr>
                <w:b/>
                <w:bCs/>
              </w:rPr>
              <w:t xml:space="preserve">Verhouding bij klusje</w:t>
            </w:r>
          </w:p>
        </w:tc>
        <w:tc>
          <w:tcPr>
            <w:tcW w:type="dxa" w:w="3120"/>
            <w:tcBorders>
              <w:top w:val="single" w:color="CCCCCC" w:sz="1"/>
              <w:left w:val="single" w:color="CCCCCC" w:sz="1"/>
              <w:bottom w:val="single" w:color="CCCCCC" w:sz="1"/>
              <w:right w:val="single" w:color="CCCCCC" w:sz="1"/>
            </w:tcBorders>
          </w:tcPr>
          <w:p>
            <w:r>
              <w:t xml:space="preserve">100% van kluswaarde</w:t>
            </w:r>
          </w:p>
        </w:tc>
        <w:tc>
          <w:tcPr>
            <w:tcW w:type="dxa" w:w="3120"/>
            <w:tcBorders>
              <w:top w:val="single" w:color="CCCCCC" w:sz="1"/>
              <w:left w:val="single" w:color="CCCCCC" w:sz="1"/>
              <w:bottom w:val="single" w:color="CCCCCC" w:sz="1"/>
              <w:right w:val="single" w:color="CCCCCC" w:sz="1"/>
            </w:tcBorders>
          </w:tcPr>
          <w:p>
            <w:r>
              <w:t xml:space="preserve">10-20% van kluswaarde</w:t>
            </w:r>
          </w:p>
        </w:tc>
      </w:tr>
    </w:tbl>
    <w:p>
      <w:pPr>
        <w:spacing w:before="200" w:after="120"/>
      </w:pPr>
      <w:r>
        <w:rPr>
          <w:b/>
          <w:bCs/>
        </w:rPr>
        <w:t xml:space="preserve">Technische Implementatie</w:t>
      </w:r>
    </w:p>
    <w:p>
      <w:pPr>
        <w:spacing w:after="200"/>
      </w:pPr>
      <w:r>
        <w:t xml:space="preserve">Pas de </w:t>
      </w:r>
      <w:r>
        <w:rPr>
          <w:i/>
          <w:iCs/>
        </w:rPr>
        <w:t xml:space="preserve">updateChildPoints</w:t>
      </w:r>
      <w:r>
        <w:t xml:space="preserve"> functie aan om beide systemen gelijktijdig te updaten. Bij elke klusgoedkeuring: punten += kluswaarde, XP += Math.floor(kluswaarde × 0.15). Dit zorgt voor consistente toekenning zonder handmatige interventie.</w:t>
      </w:r>
    </w:p>
    <w:p>
      <w:pPr>
        <w:pStyle w:val="Heading2"/>
      </w:pPr>
      <w:r>
        <w:t xml:space="preserve">Level-Progressie Framework</w:t>
      </w:r>
    </w:p>
    <w:p>
      <w:pPr>
        <w:spacing w:after="120"/>
      </w:pPr>
      <w:r>
        <w:t xml:space="preserve">Implementeer een exponentieel level-systeem dat langetermijnbetrokkenheid stimuleert: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38a169" w:val="clear"/>
          </w:tcPr>
          <w:p>
            <w:pPr>
              <w:jc w:val="center"/>
            </w:pPr>
            <w:r>
              <w:rPr>
                <w:b/>
                <w:bCs/>
                <w:color w:val="FFFFFF"/>
              </w:rPr>
              <w:t xml:space="preserve">Level</w:t>
            </w:r>
          </w:p>
        </w:tc>
        <w:tc>
          <w:tcPr>
            <w:tcW w:type="dxa" w:w="2340"/>
            <w:tcBorders>
              <w:top w:val="single" w:color="CCCCCC" w:sz="1"/>
              <w:left w:val="single" w:color="CCCCCC" w:sz="1"/>
              <w:bottom w:val="single" w:color="CCCCCC" w:sz="1"/>
              <w:right w:val="single" w:color="CCCCCC" w:sz="1"/>
            </w:tcBorders>
            <w:shd w:fill="38a169" w:val="clear"/>
          </w:tcPr>
          <w:p>
            <w:pPr>
              <w:jc w:val="center"/>
            </w:pPr>
            <w:r>
              <w:rPr>
                <w:b/>
                <w:bCs/>
                <w:color w:val="FFFFFF"/>
              </w:rPr>
              <w:t xml:space="preserve">XP Vereist</w:t>
            </w:r>
          </w:p>
        </w:tc>
        <w:tc>
          <w:tcPr>
            <w:tcW w:type="dxa" w:w="2340"/>
            <w:tcBorders>
              <w:top w:val="single" w:color="CCCCCC" w:sz="1"/>
              <w:left w:val="single" w:color="CCCCCC" w:sz="1"/>
              <w:bottom w:val="single" w:color="CCCCCC" w:sz="1"/>
              <w:right w:val="single" w:color="CCCCCC" w:sz="1"/>
            </w:tcBorders>
            <w:shd w:fill="38a169" w:val="clear"/>
          </w:tcPr>
          <w:p>
            <w:pPr>
              <w:jc w:val="center"/>
            </w:pPr>
            <w:r>
              <w:rPr>
                <w:b/>
                <w:bCs/>
                <w:color w:val="FFFFFF"/>
              </w:rPr>
              <w:t xml:space="preserve">Titel</w:t>
            </w:r>
          </w:p>
        </w:tc>
        <w:tc>
          <w:tcPr>
            <w:tcW w:type="dxa" w:w="2340"/>
            <w:tcBorders>
              <w:top w:val="single" w:color="CCCCCC" w:sz="1"/>
              <w:left w:val="single" w:color="CCCCCC" w:sz="1"/>
              <w:bottom w:val="single" w:color="CCCCCC" w:sz="1"/>
              <w:right w:val="single" w:color="CCCCCC" w:sz="1"/>
            </w:tcBorders>
            <w:shd w:fill="38a169" w:val="clear"/>
          </w:tcPr>
          <w:p>
            <w:pPr>
              <w:jc w:val="center"/>
            </w:pPr>
            <w:r>
              <w:rPr>
                <w:b/>
                <w:bCs/>
                <w:color w:val="FFFFFF"/>
              </w:rPr>
              <w:t xml:space="preserve">Ontgrendeling</w:t>
            </w:r>
          </w:p>
        </w:tc>
      </w:tr>
      <w:tr>
        <w:tc>
          <w:tcPr>
            <w:tcW w:type="dxa" w:w="2340"/>
            <w:tcBorders>
              <w:top w:val="single" w:color="CCCCCC" w:sz="1"/>
              <w:left w:val="single" w:color="CCCCCC" w:sz="1"/>
              <w:bottom w:val="single" w:color="CCCCCC" w:sz="1"/>
              <w:right w:val="single" w:color="CCCCCC" w:sz="1"/>
            </w:tcBorders>
          </w:tcPr>
          <w:p>
            <w:pPr>
              <w:jc w:val="center"/>
            </w:pPr>
            <w:r>
              <w:t xml:space="preserve">1</w:t>
            </w:r>
          </w:p>
        </w:tc>
        <w:tc>
          <w:tcPr>
            <w:tcW w:type="dxa" w:w="2340"/>
            <w:tcBorders>
              <w:top w:val="single" w:color="CCCCCC" w:sz="1"/>
              <w:left w:val="single" w:color="CCCCCC" w:sz="1"/>
              <w:bottom w:val="single" w:color="CCCCCC" w:sz="1"/>
              <w:right w:val="single" w:color="CCCCCC" w:sz="1"/>
            </w:tcBorders>
          </w:tcPr>
          <w:p>
            <w:pPr>
              <w:jc w:val="center"/>
            </w:pPr>
            <w:r>
              <w:t xml:space="preserve">0</w:t>
            </w:r>
          </w:p>
        </w:tc>
        <w:tc>
          <w:tcPr>
            <w:tcW w:type="dxa" w:w="2340"/>
            <w:tcBorders>
              <w:top w:val="single" w:color="CCCCCC" w:sz="1"/>
              <w:left w:val="single" w:color="CCCCCC" w:sz="1"/>
              <w:bottom w:val="single" w:color="CCCCCC" w:sz="1"/>
              <w:right w:val="single" w:color="CCCCCC" w:sz="1"/>
            </w:tcBorders>
          </w:tcPr>
          <w:p>
            <w:r>
              <w:t xml:space="preserve">Starter</w:t>
            </w:r>
          </w:p>
        </w:tc>
        <w:tc>
          <w:tcPr>
            <w:tcW w:type="dxa" w:w="2340"/>
            <w:tcBorders>
              <w:top w:val="single" w:color="CCCCCC" w:sz="1"/>
              <w:left w:val="single" w:color="CCCCCC" w:sz="1"/>
              <w:bottom w:val="single" w:color="CCCCCC" w:sz="1"/>
              <w:right w:val="single" w:color="CCCCCC" w:sz="1"/>
            </w:tcBorders>
          </w:tcPr>
          <w:p>
            <w:r>
              <w:t xml:space="preserve">Basis avatar</w:t>
            </w:r>
          </w:p>
        </w:tc>
      </w:tr>
      <w:tr>
        <w:tc>
          <w:tcPr>
            <w:tcW w:type="dxa" w:w="2340"/>
            <w:tcBorders>
              <w:top w:val="single" w:color="CCCCCC" w:sz="1"/>
              <w:left w:val="single" w:color="CCCCCC" w:sz="1"/>
              <w:bottom w:val="single" w:color="CCCCCC" w:sz="1"/>
              <w:right w:val="single" w:color="CCCCCC" w:sz="1"/>
            </w:tcBorders>
          </w:tcPr>
          <w:p>
            <w:pPr>
              <w:jc w:val="center"/>
            </w:pPr>
            <w:r>
              <w:t xml:space="preserve">5</w:t>
            </w:r>
          </w:p>
        </w:tc>
        <w:tc>
          <w:tcPr>
            <w:tcW w:type="dxa" w:w="2340"/>
            <w:tcBorders>
              <w:top w:val="single" w:color="CCCCCC" w:sz="1"/>
              <w:left w:val="single" w:color="CCCCCC" w:sz="1"/>
              <w:bottom w:val="single" w:color="CCCCCC" w:sz="1"/>
              <w:right w:val="single" w:color="CCCCCC" w:sz="1"/>
            </w:tcBorders>
          </w:tcPr>
          <w:p>
            <w:pPr>
              <w:jc w:val="center"/>
            </w:pPr>
            <w:r>
              <w:t xml:space="preserve">500</w:t>
            </w:r>
          </w:p>
        </w:tc>
        <w:tc>
          <w:tcPr>
            <w:tcW w:type="dxa" w:w="2340"/>
            <w:tcBorders>
              <w:top w:val="single" w:color="CCCCCC" w:sz="1"/>
              <w:left w:val="single" w:color="CCCCCC" w:sz="1"/>
              <w:bottom w:val="single" w:color="CCCCCC" w:sz="1"/>
              <w:right w:val="single" w:color="CCCCCC" w:sz="1"/>
            </w:tcBorders>
          </w:tcPr>
          <w:p>
            <w:r>
              <w:t xml:space="preserve">Helper</w:t>
            </w:r>
          </w:p>
        </w:tc>
        <w:tc>
          <w:tcPr>
            <w:tcW w:type="dxa" w:w="2340"/>
            <w:tcBorders>
              <w:top w:val="single" w:color="CCCCCC" w:sz="1"/>
              <w:left w:val="single" w:color="CCCCCC" w:sz="1"/>
              <w:bottom w:val="single" w:color="CCCCCC" w:sz="1"/>
              <w:right w:val="single" w:color="CCCCCC" w:sz="1"/>
            </w:tcBorders>
          </w:tcPr>
          <w:p>
            <w:r>
              <w:t xml:space="preserve">Virtueel huisdier</w:t>
            </w:r>
          </w:p>
        </w:tc>
      </w:tr>
      <w:tr>
        <w:tc>
          <w:tcPr>
            <w:tcW w:type="dxa" w:w="2340"/>
            <w:tcBorders>
              <w:top w:val="single" w:color="CCCCCC" w:sz="1"/>
              <w:left w:val="single" w:color="CCCCCC" w:sz="1"/>
              <w:bottom w:val="single" w:color="CCCCCC" w:sz="1"/>
              <w:right w:val="single" w:color="CCCCCC" w:sz="1"/>
            </w:tcBorders>
          </w:tcPr>
          <w:p>
            <w:pPr>
              <w:jc w:val="center"/>
            </w:pPr>
            <w:r>
              <w:t xml:space="preserve">10</w:t>
            </w:r>
          </w:p>
        </w:tc>
        <w:tc>
          <w:tcPr>
            <w:tcW w:type="dxa" w:w="2340"/>
            <w:tcBorders>
              <w:top w:val="single" w:color="CCCCCC" w:sz="1"/>
              <w:left w:val="single" w:color="CCCCCC" w:sz="1"/>
              <w:bottom w:val="single" w:color="CCCCCC" w:sz="1"/>
              <w:right w:val="single" w:color="CCCCCC" w:sz="1"/>
            </w:tcBorders>
          </w:tcPr>
          <w:p>
            <w:pPr>
              <w:jc w:val="center"/>
            </w:pPr>
            <w:r>
              <w:t xml:space="preserve">1.500</w:t>
            </w:r>
          </w:p>
        </w:tc>
        <w:tc>
          <w:tcPr>
            <w:tcW w:type="dxa" w:w="2340"/>
            <w:tcBorders>
              <w:top w:val="single" w:color="CCCCCC" w:sz="1"/>
              <w:left w:val="single" w:color="CCCCCC" w:sz="1"/>
              <w:bottom w:val="single" w:color="CCCCCC" w:sz="1"/>
              <w:right w:val="single" w:color="CCCCCC" w:sz="1"/>
            </w:tcBorders>
          </w:tcPr>
          <w:p>
            <w:r>
              <w:t xml:space="preserve">Klusjes Held</w:t>
            </w:r>
          </w:p>
        </w:tc>
        <w:tc>
          <w:tcPr>
            <w:tcW w:type="dxa" w:w="2340"/>
            <w:tcBorders>
              <w:top w:val="single" w:color="CCCCCC" w:sz="1"/>
              <w:left w:val="single" w:color="CCCCCC" w:sz="1"/>
              <w:bottom w:val="single" w:color="CCCCCC" w:sz="1"/>
              <w:right w:val="single" w:color="CCCCCC" w:sz="1"/>
            </w:tcBorders>
          </w:tcPr>
          <w:p>
            <w:r>
              <w:t xml:space="preserve">Team klusjes</w:t>
            </w:r>
          </w:p>
        </w:tc>
      </w:tr>
      <w:tr>
        <w:tc>
          <w:tcPr>
            <w:tcW w:type="dxa" w:w="2340"/>
            <w:tcBorders>
              <w:top w:val="single" w:color="CCCCCC" w:sz="1"/>
              <w:left w:val="single" w:color="CCCCCC" w:sz="1"/>
              <w:bottom w:val="single" w:color="CCCCCC" w:sz="1"/>
              <w:right w:val="single" w:color="CCCCCC" w:sz="1"/>
            </w:tcBorders>
          </w:tcPr>
          <w:p>
            <w:pPr>
              <w:jc w:val="center"/>
            </w:pPr>
            <w:r>
              <w:t xml:space="preserve">20</w:t>
            </w:r>
          </w:p>
        </w:tc>
        <w:tc>
          <w:tcPr>
            <w:tcW w:type="dxa" w:w="2340"/>
            <w:tcBorders>
              <w:top w:val="single" w:color="CCCCCC" w:sz="1"/>
              <w:left w:val="single" w:color="CCCCCC" w:sz="1"/>
              <w:bottom w:val="single" w:color="CCCCCC" w:sz="1"/>
              <w:right w:val="single" w:color="CCCCCC" w:sz="1"/>
            </w:tcBorders>
          </w:tcPr>
          <w:p>
            <w:pPr>
              <w:jc w:val="center"/>
            </w:pPr>
            <w:r>
              <w:t xml:space="preserve">5.000</w:t>
            </w:r>
          </w:p>
        </w:tc>
        <w:tc>
          <w:tcPr>
            <w:tcW w:type="dxa" w:w="2340"/>
            <w:tcBorders>
              <w:top w:val="single" w:color="CCCCCC" w:sz="1"/>
              <w:left w:val="single" w:color="CCCCCC" w:sz="1"/>
              <w:bottom w:val="single" w:color="CCCCCC" w:sz="1"/>
              <w:right w:val="single" w:color="CCCCCC" w:sz="1"/>
            </w:tcBorders>
          </w:tcPr>
          <w:p>
            <w:r>
              <w:t xml:space="preserve">Meester</w:t>
            </w:r>
          </w:p>
        </w:tc>
        <w:tc>
          <w:tcPr>
            <w:tcW w:type="dxa" w:w="2340"/>
            <w:tcBorders>
              <w:top w:val="single" w:color="CCCCCC" w:sz="1"/>
              <w:left w:val="single" w:color="CCCCCC" w:sz="1"/>
              <w:bottom w:val="single" w:color="CCCCCC" w:sz="1"/>
              <w:right w:val="single" w:color="CCCCCC" w:sz="1"/>
            </w:tcBorders>
          </w:tcPr>
          <w:p>
            <w:r>
              <w:t xml:space="preserve">Zeldzame badges</w:t>
            </w:r>
          </w:p>
        </w:tc>
      </w:tr>
      <w:tr>
        <w:tc>
          <w:tcPr>
            <w:tcW w:type="dxa" w:w="2340"/>
            <w:tcBorders>
              <w:top w:val="single" w:color="CCCCCC" w:sz="1"/>
              <w:left w:val="single" w:color="CCCCCC" w:sz="1"/>
              <w:bottom w:val="single" w:color="CCCCCC" w:sz="1"/>
              <w:right w:val="single" w:color="CCCCCC" w:sz="1"/>
            </w:tcBorders>
          </w:tcPr>
          <w:p>
            <w:pPr>
              <w:jc w:val="center"/>
            </w:pPr>
            <w:r>
              <w:t xml:space="preserve">50</w:t>
            </w:r>
          </w:p>
        </w:tc>
        <w:tc>
          <w:tcPr>
            <w:tcW w:type="dxa" w:w="2340"/>
            <w:tcBorders>
              <w:top w:val="single" w:color="CCCCCC" w:sz="1"/>
              <w:left w:val="single" w:color="CCCCCC" w:sz="1"/>
              <w:bottom w:val="single" w:color="CCCCCC" w:sz="1"/>
              <w:right w:val="single" w:color="CCCCCC" w:sz="1"/>
            </w:tcBorders>
          </w:tcPr>
          <w:p>
            <w:pPr>
              <w:jc w:val="center"/>
            </w:pPr>
            <w:r>
              <w:t xml:space="preserve">25.000</w:t>
            </w:r>
          </w:p>
        </w:tc>
        <w:tc>
          <w:tcPr>
            <w:tcW w:type="dxa" w:w="2340"/>
            <w:tcBorders>
              <w:top w:val="single" w:color="CCCCCC" w:sz="1"/>
              <w:left w:val="single" w:color="CCCCCC" w:sz="1"/>
              <w:bottom w:val="single" w:color="CCCCCC" w:sz="1"/>
              <w:right w:val="single" w:color="CCCCCC" w:sz="1"/>
            </w:tcBorders>
          </w:tcPr>
          <w:p>
            <w:r>
              <w:t xml:space="preserve">Klusjes Koning</w:t>
            </w:r>
          </w:p>
        </w:tc>
        <w:tc>
          <w:tcPr>
            <w:tcW w:type="dxa" w:w="2340"/>
            <w:tcBorders>
              <w:top w:val="single" w:color="CCCCCC" w:sz="1"/>
              <w:left w:val="single" w:color="CCCCCC" w:sz="1"/>
              <w:bottom w:val="single" w:color="CCCCCC" w:sz="1"/>
              <w:right w:val="single" w:color="CCCCCC" w:sz="1"/>
            </w:tcBorders>
          </w:tcPr>
          <w:p>
            <w:r>
              <w:t xml:space="preserve">Legendarische items</w:t>
            </w:r>
          </w:p>
        </w:tc>
      </w:tr>
    </w:tbl>
    <w:p>
      <w:pPr>
        <w:pStyle w:val="Heading1"/>
      </w:pPr>
      <w:r>
        <w:t xml:space="preserve">2. Penalty-Beleid Framework</w:t>
      </w:r>
    </w:p>
    <w:p>
      <w:pPr>
        <w:pStyle w:val="Heading2"/>
      </w:pPr>
      <w:r>
        <w:t xml:space="preserve">Probleemanalyse</w:t>
      </w:r>
    </w:p>
    <w:p>
      <w:pPr>
        <w:spacing w:after="200"/>
      </w:pPr>
      <w:r>
        <w:t xml:space="preserve">Het transactietype </w:t>
      </w:r>
      <w:r>
        <w:rPr>
          <w:i/>
          <w:iCs/>
        </w:rPr>
        <w:t xml:space="preserve">penalty</w:t>
      </w:r>
      <w:r>
        <w:t xml:space="preserve"> bestaat in de database-architectuur, maar er ontbreekt documentatie over toepassingsscenario's. Ongedocumenteerde strafsystemen vormen een risico: inconsistente toepassing door ouders kan leiden tot demotivatie en gepercipieerde oneerlijkheid bij kinderen.</w:t>
      </w:r>
    </w:p>
    <w:p>
      <w:pPr>
        <w:pStyle w:val="Heading2"/>
      </w:pPr>
      <w:r>
        <w:t xml:space="preserve">Aanbevolen Beleidskader</w:t>
      </w:r>
    </w:p>
    <w:p>
      <w:pPr>
        <w:spacing w:after="120"/>
      </w:pPr>
      <w:r>
        <w:t xml:space="preserve">Implementeer een gestructureerd penalty-framework met de volgende kernprincipes:</w:t>
      </w:r>
    </w:p>
    <w:p>
      <w:pPr>
        <w:pStyle w:val="ListParagraph"/>
        <w:numPr>
          <w:ilvl w:val="0"/>
          <w:numId w:val="2"/>
        </w:numPr>
        <w:spacing w:after="80"/>
      </w:pPr>
      <w:r>
        <w:rPr>
          <w:b/>
          <w:bCs/>
        </w:rPr>
        <w:t xml:space="preserve">Proportionaliteit: </w:t>
      </w:r>
      <w:r>
        <w:t xml:space="preserve">Penalties mogen nooit meer dan 25% van de oorspronkelijke kluswaarde bedragen</w:t>
      </w:r>
    </w:p>
    <w:p>
      <w:pPr>
        <w:pStyle w:val="ListParagraph"/>
        <w:numPr>
          <w:ilvl w:val="0"/>
          <w:numId w:val="2"/>
        </w:numPr>
        <w:spacing w:after="80"/>
      </w:pPr>
      <w:r>
        <w:rPr>
          <w:b/>
          <w:bCs/>
        </w:rPr>
        <w:t xml:space="preserve">Transparantie: </w:t>
      </w:r>
      <w:r>
        <w:t xml:space="preserve">Kinderen zien vooraf welke penalties mogelijk zijn per klustype</w:t>
      </w:r>
    </w:p>
    <w:p>
      <w:pPr>
        <w:pStyle w:val="ListParagraph"/>
        <w:numPr>
          <w:ilvl w:val="0"/>
          <w:numId w:val="2"/>
        </w:numPr>
        <w:spacing w:after="80"/>
      </w:pPr>
      <w:r>
        <w:rPr>
          <w:b/>
          <w:bCs/>
        </w:rPr>
        <w:t xml:space="preserve">Herstelmogelijkheid: </w:t>
      </w:r>
      <w:r>
        <w:t xml:space="preserve">Elke penalty bevat een pad naar herstel (bonustaak of correctie)</w:t>
      </w:r>
    </w:p>
    <w:p>
      <w:pPr>
        <w:pStyle w:val="ListParagraph"/>
        <w:numPr>
          <w:ilvl w:val="0"/>
          <w:numId w:val="2"/>
        </w:numPr>
        <w:spacing w:after="200"/>
      </w:pPr>
      <w:r>
        <w:rPr>
          <w:b/>
          <w:bCs/>
        </w:rPr>
        <w:t xml:space="preserve">XP-bescherming: </w:t>
      </w:r>
      <w:r>
        <w:t xml:space="preserve">Penalties raken alleen punten, nooit XP (progressie blijft intact)</w:t>
      </w:r>
    </w:p>
    <w:p>
      <w:pPr>
        <w:pStyle w:val="Heading2"/>
      </w:pPr>
      <w:r>
        <w:t xml:space="preserve">Toegestane Penalty-Scenario's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c53030" w:val="clear"/>
          </w:tcPr>
          <w:p>
            <w:pPr>
              <w:jc w:val="center"/>
            </w:pPr>
            <w:r>
              <w:rPr>
                <w:b/>
                <w:bCs/>
                <w:color w:val="FFFFFF"/>
              </w:rPr>
              <w:t xml:space="preserve">Scenario</w:t>
            </w:r>
          </w:p>
        </w:tc>
        <w:tc>
          <w:tcPr>
            <w:tcW w:type="dxa" w:w="3510"/>
            <w:tcBorders>
              <w:top w:val="single" w:color="CCCCCC" w:sz="1"/>
              <w:left w:val="single" w:color="CCCCCC" w:sz="1"/>
              <w:bottom w:val="single" w:color="CCCCCC" w:sz="1"/>
              <w:right w:val="single" w:color="CCCCCC" w:sz="1"/>
            </w:tcBorders>
            <w:shd w:fill="c53030" w:val="clear"/>
          </w:tcPr>
          <w:p>
            <w:pPr>
              <w:jc w:val="center"/>
            </w:pPr>
            <w:r>
              <w:rPr>
                <w:b/>
                <w:bCs/>
                <w:color w:val="FFFFFF"/>
              </w:rPr>
              <w:t xml:space="preserve">Maximale Penalty</w:t>
            </w:r>
          </w:p>
        </w:tc>
        <w:tc>
          <w:tcPr>
            <w:tcW w:type="dxa" w:w="3510"/>
            <w:tcBorders>
              <w:top w:val="single" w:color="CCCCCC" w:sz="1"/>
              <w:left w:val="single" w:color="CCCCCC" w:sz="1"/>
              <w:bottom w:val="single" w:color="CCCCCC" w:sz="1"/>
              <w:right w:val="single" w:color="CCCCCC" w:sz="1"/>
            </w:tcBorders>
            <w:shd w:fill="c53030" w:val="clear"/>
          </w:tcPr>
          <w:p>
            <w:pPr>
              <w:jc w:val="center"/>
            </w:pPr>
            <w:r>
              <w:rPr>
                <w:b/>
                <w:bCs/>
                <w:color w:val="FFFFFF"/>
              </w:rPr>
              <w:t xml:space="preserve">Hersteloptie</w:t>
            </w:r>
          </w:p>
        </w:tc>
      </w:tr>
      <w:tr>
        <w:tc>
          <w:tcPr>
            <w:tcW w:type="dxa" w:w="2340"/>
            <w:tcBorders>
              <w:top w:val="single" w:color="CCCCCC" w:sz="1"/>
              <w:left w:val="single" w:color="CCCCCC" w:sz="1"/>
              <w:bottom w:val="single" w:color="CCCCCC" w:sz="1"/>
              <w:right w:val="single" w:color="CCCCCC" w:sz="1"/>
            </w:tcBorders>
          </w:tcPr>
          <w:p>
            <w:r>
              <w:t xml:space="preserve">Klusje niet voltooid</w:t>
            </w:r>
          </w:p>
        </w:tc>
        <w:tc>
          <w:tcPr>
            <w:tcW w:type="dxa" w:w="3510"/>
            <w:tcBorders>
              <w:top w:val="single" w:color="CCCCCC" w:sz="1"/>
              <w:left w:val="single" w:color="CCCCCC" w:sz="1"/>
              <w:bottom w:val="single" w:color="CCCCCC" w:sz="1"/>
              <w:right w:val="single" w:color="CCCCCC" w:sz="1"/>
            </w:tcBorders>
          </w:tcPr>
          <w:p>
            <w:r>
              <w:t xml:space="preserve">0 punten (geen penalty, geen beloning)</w:t>
            </w:r>
          </w:p>
        </w:tc>
        <w:tc>
          <w:tcPr>
            <w:tcW w:type="dxa" w:w="3510"/>
            <w:tcBorders>
              <w:top w:val="single" w:color="CCCCCC" w:sz="1"/>
              <w:left w:val="single" w:color="CCCCCC" w:sz="1"/>
              <w:bottom w:val="single" w:color="CCCCCC" w:sz="1"/>
              <w:right w:val="single" w:color="CCCCCC" w:sz="1"/>
            </w:tcBorders>
          </w:tcPr>
          <w:p>
            <w:r>
              <w:t xml:space="preserve">Alsnog voltooien voor 75% punten</w:t>
            </w:r>
          </w:p>
        </w:tc>
      </w:tr>
      <w:tr>
        <w:tc>
          <w:tcPr>
            <w:tcW w:type="dxa" w:w="2340"/>
            <w:tcBorders>
              <w:top w:val="single" w:color="CCCCCC" w:sz="1"/>
              <w:left w:val="single" w:color="CCCCCC" w:sz="1"/>
              <w:bottom w:val="single" w:color="CCCCCC" w:sz="1"/>
              <w:right w:val="single" w:color="CCCCCC" w:sz="1"/>
            </w:tcBorders>
          </w:tcPr>
          <w:p>
            <w:r>
              <w:t xml:space="preserve">Kwaliteit onvoldoende</w:t>
            </w:r>
          </w:p>
        </w:tc>
        <w:tc>
          <w:tcPr>
            <w:tcW w:type="dxa" w:w="3510"/>
            <w:tcBorders>
              <w:top w:val="single" w:color="CCCCCC" w:sz="1"/>
              <w:left w:val="single" w:color="CCCCCC" w:sz="1"/>
              <w:bottom w:val="single" w:color="CCCCCC" w:sz="1"/>
              <w:right w:val="single" w:color="CCCCCC" w:sz="1"/>
            </w:tcBorders>
          </w:tcPr>
          <w:p>
            <w:r>
              <w:t xml:space="preserve">50% van standaard beloning</w:t>
            </w:r>
          </w:p>
        </w:tc>
        <w:tc>
          <w:tcPr>
            <w:tcW w:type="dxa" w:w="3510"/>
            <w:tcBorders>
              <w:top w:val="single" w:color="CCCCCC" w:sz="1"/>
              <w:left w:val="single" w:color="CCCCCC" w:sz="1"/>
              <w:bottom w:val="single" w:color="CCCCCC" w:sz="1"/>
              <w:right w:val="single" w:color="CCCCCC" w:sz="1"/>
            </w:tcBorders>
          </w:tcPr>
          <w:p>
            <w:r>
              <w:t xml:space="preserve">Correctietaak voor resterende 50%</w:t>
            </w:r>
          </w:p>
        </w:tc>
      </w:tr>
      <w:tr>
        <w:tc>
          <w:tcPr>
            <w:tcW w:type="dxa" w:w="2340"/>
            <w:tcBorders>
              <w:top w:val="single" w:color="CCCCCC" w:sz="1"/>
              <w:left w:val="single" w:color="CCCCCC" w:sz="1"/>
              <w:bottom w:val="single" w:color="CCCCCC" w:sz="1"/>
              <w:right w:val="single" w:color="CCCCCC" w:sz="1"/>
            </w:tcBorders>
          </w:tcPr>
          <w:p>
            <w:r>
              <w:t xml:space="preserve">Vals bewijs ingediend</w:t>
            </w:r>
          </w:p>
        </w:tc>
        <w:tc>
          <w:tcPr>
            <w:tcW w:type="dxa" w:w="3510"/>
            <w:tcBorders>
              <w:top w:val="single" w:color="CCCCCC" w:sz="1"/>
              <w:left w:val="single" w:color="CCCCCC" w:sz="1"/>
              <w:bottom w:val="single" w:color="CCCCCC" w:sz="1"/>
              <w:right w:val="single" w:color="CCCCCC" w:sz="1"/>
            </w:tcBorders>
          </w:tcPr>
          <w:p>
            <w:r>
              <w:t xml:space="preserve">-25% van oorspronkelijke waarde</w:t>
            </w:r>
          </w:p>
        </w:tc>
        <w:tc>
          <w:tcPr>
            <w:tcW w:type="dxa" w:w="3510"/>
            <w:tcBorders>
              <w:top w:val="single" w:color="CCCCCC" w:sz="1"/>
              <w:left w:val="single" w:color="CCCCCC" w:sz="1"/>
              <w:bottom w:val="single" w:color="CCCCCC" w:sz="1"/>
              <w:right w:val="single" w:color="CCCCCC" w:sz="1"/>
            </w:tcBorders>
          </w:tcPr>
          <w:p>
            <w:r>
              <w:t xml:space="preserve">Eerlijkheidsbadge verdienen</w:t>
            </w:r>
          </w:p>
        </w:tc>
      </w:tr>
      <w:tr>
        <w:tc>
          <w:tcPr>
            <w:tcW w:type="dxa" w:w="2340"/>
            <w:tcBorders>
              <w:top w:val="single" w:color="CCCCCC" w:sz="1"/>
              <w:left w:val="single" w:color="CCCCCC" w:sz="1"/>
              <w:bottom w:val="single" w:color="CCCCCC" w:sz="1"/>
              <w:right w:val="single" w:color="CCCCCC" w:sz="1"/>
            </w:tcBorders>
          </w:tcPr>
          <w:p>
            <w:r>
              <w:t xml:space="preserve">Herhaalde afwijzing</w:t>
            </w:r>
          </w:p>
        </w:tc>
        <w:tc>
          <w:tcPr>
            <w:tcW w:type="dxa" w:w="3510"/>
            <w:tcBorders>
              <w:top w:val="single" w:color="CCCCCC" w:sz="1"/>
              <w:left w:val="single" w:color="CCCCCC" w:sz="1"/>
              <w:bottom w:val="single" w:color="CCCCCC" w:sz="1"/>
              <w:right w:val="single" w:color="CCCCCC" w:sz="1"/>
            </w:tcBorders>
          </w:tcPr>
          <w:p>
            <w:r>
              <w:t xml:space="preserve">Tijdelijke klusjespauze (geen puntverlies)</w:t>
            </w:r>
          </w:p>
        </w:tc>
        <w:tc>
          <w:tcPr>
            <w:tcW w:type="dxa" w:w="3510"/>
            <w:tcBorders>
              <w:top w:val="single" w:color="CCCCCC" w:sz="1"/>
              <w:left w:val="single" w:color="CCCCCC" w:sz="1"/>
              <w:bottom w:val="single" w:color="CCCCCC" w:sz="1"/>
              <w:right w:val="single" w:color="CCCCCC" w:sz="1"/>
            </w:tcBorders>
          </w:tcPr>
          <w:p>
            <w:r>
              <w:t xml:space="preserve">Gesprek met ouder + kleine taak</w:t>
            </w:r>
          </w:p>
        </w:tc>
      </w:tr>
    </w:tbl>
    <w:p>
      <w:pPr>
        <w:pStyle w:val="Heading2"/>
        <w:spacing w:before="200"/>
      </w:pPr>
      <w:r>
        <w:t xml:space="preserve">Implementatie in UI</w:t>
      </w:r>
    </w:p>
    <w:p>
      <w:pPr>
        <w:spacing w:after="200"/>
      </w:pPr>
      <w:r>
        <w:t xml:space="preserve">Voeg aan het ouder-dashboard een penalty-configuratiescherm toe waar ouders per klustype kunnen aangeven welke penalties van toepassing zijn. Standaard staan alle penalties uit, waardoor ouders bewust moeten kiezen voor activering. Bij activering toont de app een waarschuwing over mogelijke demotiverende effecten.</w:t>
      </w:r>
    </w:p>
    <w:p>
      <w:pPr>
        <w:pStyle w:val="Heading1"/>
      </w:pPr>
      <w:r>
        <w:t xml:space="preserve">3. Economisch Inflatiebeheersing</w:t>
      </w:r>
    </w:p>
    <w:p>
      <w:pPr>
        <w:pStyle w:val="Heading2"/>
      </w:pPr>
      <w:r>
        <w:t xml:space="preserve">Probleemanalyse</w:t>
      </w:r>
    </w:p>
    <w:p>
      <w:pPr>
        <w:spacing w:after="200"/>
      </w:pPr>
      <w:r>
        <w:t xml:space="preserve">Zonder gecontroleerde puntendepletie ontstaat onvermijdelijk inflatie: kinderen accumuleren punten sneller dan ze uitgeven, waardoor beloningen hun waarde verliezen. Dit ondermijnt de kernmotivatie van het systeem. Analyse van vergelijkbare gamificatieplatforms toont dat onbeheerde economieën binnen 6-12 maanden significante engagement-dalingen ervaren.</w:t>
      </w:r>
    </w:p>
    <w:p>
      <w:pPr>
        <w:pStyle w:val="Heading2"/>
      </w:pPr>
      <w:r>
        <w:t xml:space="preserve">Aanbevolen Beheersingsmechanismen</w:t>
      </w:r>
    </w:p>
    <w:p>
      <w:pPr>
        <w:spacing w:before="120"/>
      </w:pPr>
      <w:r>
        <w:rPr>
          <w:b/>
          <w:bCs/>
          <w:sz w:val="24"/>
          <w:szCs w:val="24"/>
        </w:rPr>
        <w:t xml:space="preserve">A. Dynamische Beloningsprijzen</w:t>
      </w:r>
    </w:p>
    <w:p>
      <w:pPr>
        <w:spacing w:after="120"/>
      </w:pPr>
      <w:r>
        <w:t xml:space="preserve">Implementeer een automatisch prijsaanpassingssysteem gebaseerd op gemiddelde puntensaldi binnen de familie. Wanneer het gemiddelde saldo een drempelwaarde overschrijdt, stijgen beloningsprijzen proportioneel.</w:t>
      </w:r>
    </w:p>
    <w:p>
      <w:pPr>
        <w:pStyle w:val="ListParagraph"/>
        <w:numPr>
          <w:ilvl w:val="0"/>
          <w:numId w:val="3"/>
        </w:numPr>
        <w:spacing w:after="60"/>
      </w:pPr>
      <w:r>
        <w:t xml:space="preserve">Basis: beloningsprijs = standaardprijs × inflatiecorrectie</w:t>
      </w:r>
    </w:p>
    <w:p>
      <w:pPr>
        <w:pStyle w:val="ListParagraph"/>
        <w:numPr>
          <w:ilvl w:val="0"/>
          <w:numId w:val="3"/>
        </w:numPr>
        <w:spacing w:after="60"/>
      </w:pPr>
      <w:r>
        <w:t xml:space="preserve">Inflatiecorrectie = 1 + ((gemiddeld_saldo - drempel) / drempel × 0.1)</w:t>
      </w:r>
    </w:p>
    <w:p>
      <w:pPr>
        <w:pStyle w:val="ListParagraph"/>
        <w:numPr>
          <w:ilvl w:val="0"/>
          <w:numId w:val="3"/>
        </w:numPr>
        <w:spacing w:after="200"/>
      </w:pPr>
      <w:r>
        <w:t xml:space="preserve">Maximum correctie: 1.5× (voorkomt extreme prijsstijgingen)</w:t>
      </w:r>
    </w:p>
    <w:p>
      <w:r>
        <w:rPr>
          <w:b/>
          <w:bCs/>
          <w:sz w:val="24"/>
          <w:szCs w:val="24"/>
        </w:rPr>
        <w:t xml:space="preserve">B. Punt-Sinks (Gecontroleerde Uitstroom)</w:t>
      </w:r>
    </w:p>
    <w:p>
      <w:pPr>
        <w:spacing w:after="120"/>
      </w:pPr>
      <w:r>
        <w:t xml:space="preserve">Creëer aantrekkelijke manieren om punten uit te geven die niet afhankelijk zijn van ouderinterventie:</w:t>
      </w:r>
    </w:p>
    <w:p>
      <w:pPr>
        <w:pStyle w:val="ListParagraph"/>
        <w:numPr>
          <w:ilvl w:val="0"/>
          <w:numId w:val="4"/>
        </w:numPr>
        <w:spacing w:after="80"/>
      </w:pPr>
      <w:r>
        <w:rPr>
          <w:b/>
          <w:bCs/>
        </w:rPr>
        <w:t xml:space="preserve">Avatar-cosmetica: </w:t>
      </w:r>
      <w:r>
        <w:t xml:space="preserve">Regelmatig nieuwe items toevoegen met variërende zeldzaamheid</w:t>
      </w:r>
    </w:p>
    <w:p>
      <w:pPr>
        <w:pStyle w:val="ListParagraph"/>
        <w:numPr>
          <w:ilvl w:val="0"/>
          <w:numId w:val="4"/>
        </w:numPr>
        <w:spacing w:after="80"/>
      </w:pPr>
      <w:r>
        <w:rPr>
          <w:b/>
          <w:bCs/>
        </w:rPr>
        <w:t xml:space="preserve">Virtueel huisdier upgrades: </w:t>
      </w:r>
      <w:r>
        <w:t xml:space="preserve">Voeding, accessoires, en huisvesting voor huisdieren</w:t>
      </w:r>
    </w:p>
    <w:p>
      <w:pPr>
        <w:pStyle w:val="ListParagraph"/>
        <w:numPr>
          <w:ilvl w:val="0"/>
          <w:numId w:val="4"/>
        </w:numPr>
        <w:spacing w:after="80"/>
      </w:pPr>
      <w:r>
        <w:rPr>
          <w:b/>
          <w:bCs/>
        </w:rPr>
        <w:t xml:space="preserve">Seizoensgebonden events: </w:t>
      </w:r>
      <w:r>
        <w:t xml:space="preserve">Tijdelijke exclusieve items die FOMO creëren</w:t>
      </w:r>
    </w:p>
    <w:p>
      <w:pPr>
        <w:pStyle w:val="ListParagraph"/>
        <w:numPr>
          <w:ilvl w:val="0"/>
          <w:numId w:val="4"/>
        </w:numPr>
        <w:spacing w:after="200"/>
      </w:pPr>
      <w:r>
        <w:rPr>
          <w:b/>
          <w:bCs/>
        </w:rPr>
        <w:t xml:space="preserve">Goede doelen matching: </w:t>
      </w:r>
      <w:r>
        <w:t xml:space="preserve">Ouder-matching verhogen bij hoge saldi om donaties te stimuleren</w:t>
      </w:r>
    </w:p>
    <w:p>
      <w:r>
        <w:rPr>
          <w:b/>
          <w:bCs/>
          <w:sz w:val="24"/>
          <w:szCs w:val="24"/>
        </w:rPr>
        <w:t xml:space="preserve">C. Conversieratio Externe Klusjes</w:t>
      </w:r>
    </w:p>
    <w:p>
      <w:pPr>
        <w:spacing w:after="120"/>
      </w:pPr>
      <w:r>
        <w:t xml:space="preserve">Formaliseer de conversieratio voor externe (Powerklusjes) betalingen: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805ad5" w:val="clear"/>
          </w:tcPr>
          <w:p>
            <w:pPr>
              <w:jc w:val="center"/>
            </w:pPr>
            <w:r>
              <w:rPr>
                <w:b/>
                <w:bCs/>
                <w:color w:val="FFFFFF"/>
              </w:rPr>
              <w:t xml:space="preserve">Conversietype</w:t>
            </w:r>
          </w:p>
        </w:tc>
        <w:tc>
          <w:tcPr>
            <w:tcW w:type="dxa" w:w="4680"/>
            <w:tcBorders>
              <w:top w:val="single" w:color="CCCCCC" w:sz="1"/>
              <w:left w:val="single" w:color="CCCCCC" w:sz="1"/>
              <w:bottom w:val="single" w:color="CCCCCC" w:sz="1"/>
              <w:right w:val="single" w:color="CCCCCC" w:sz="1"/>
            </w:tcBorders>
            <w:shd w:fill="805ad5" w:val="clear"/>
          </w:tcPr>
          <w:p>
            <w:pPr>
              <w:jc w:val="center"/>
            </w:pPr>
            <w:r>
              <w:rPr>
                <w:b/>
                <w:bCs/>
                <w:color w:val="FFFFFF"/>
              </w:rPr>
              <w:t xml:space="preserve">Ratio</w:t>
            </w:r>
          </w:p>
        </w:tc>
      </w:tr>
      <w:tr>
        <w:tc>
          <w:tcPr>
            <w:tcW w:type="dxa" w:w="4680"/>
            <w:tcBorders>
              <w:top w:val="single" w:color="CCCCCC" w:sz="1"/>
              <w:left w:val="single" w:color="CCCCCC" w:sz="1"/>
              <w:bottom w:val="single" w:color="CCCCCC" w:sz="1"/>
              <w:right w:val="single" w:color="CCCCCC" w:sz="1"/>
            </w:tcBorders>
          </w:tcPr>
          <w:p>
            <w:r>
              <w:t xml:space="preserve">Euro naar punten (extern klusje)</w:t>
            </w:r>
          </w:p>
        </w:tc>
        <w:tc>
          <w:tcPr>
            <w:tcW w:type="dxa" w:w="4680"/>
            <w:tcBorders>
              <w:top w:val="single" w:color="CCCCCC" w:sz="1"/>
              <w:left w:val="single" w:color="CCCCCC" w:sz="1"/>
              <w:bottom w:val="single" w:color="CCCCCC" w:sz="1"/>
              <w:right w:val="single" w:color="CCCCCC" w:sz="1"/>
            </w:tcBorders>
          </w:tcPr>
          <w:p>
            <w:r>
              <w:t xml:space="preserve">€1 = 100 punten (vast)</w:t>
            </w:r>
          </w:p>
        </w:tc>
      </w:tr>
      <w:tr>
        <w:tc>
          <w:tcPr>
            <w:tcW w:type="dxa" w:w="4680"/>
            <w:tcBorders>
              <w:top w:val="single" w:color="CCCCCC" w:sz="1"/>
              <w:left w:val="single" w:color="CCCCCC" w:sz="1"/>
              <w:bottom w:val="single" w:color="CCCCCC" w:sz="1"/>
              <w:right w:val="single" w:color="CCCCCC" w:sz="1"/>
            </w:tcBorders>
          </w:tcPr>
          <w:p>
            <w:r>
              <w:t xml:space="preserve">Punten naar zakgeld (uitbetaling)</w:t>
            </w:r>
          </w:p>
        </w:tc>
        <w:tc>
          <w:tcPr>
            <w:tcW w:type="dxa" w:w="4680"/>
            <w:tcBorders>
              <w:top w:val="single" w:color="CCCCCC" w:sz="1"/>
              <w:left w:val="single" w:color="CCCCCC" w:sz="1"/>
              <w:bottom w:val="single" w:color="CCCCCC" w:sz="1"/>
              <w:right w:val="single" w:color="CCCCCC" w:sz="1"/>
            </w:tcBorders>
          </w:tcPr>
          <w:p>
            <w:r>
              <w:t xml:space="preserve">150 punten = €1 (variabel per familie)</w:t>
            </w:r>
          </w:p>
        </w:tc>
      </w:tr>
      <w:tr>
        <w:tc>
          <w:tcPr>
            <w:tcW w:type="dxa" w:w="4680"/>
            <w:tcBorders>
              <w:top w:val="single" w:color="CCCCCC" w:sz="1"/>
              <w:left w:val="single" w:color="CCCCCC" w:sz="1"/>
              <w:bottom w:val="single" w:color="CCCCCC" w:sz="1"/>
              <w:right w:val="single" w:color="CCCCCC" w:sz="1"/>
            </w:tcBorders>
          </w:tcPr>
          <w:p>
            <w:r>
              <w:t xml:space="preserve">Punten naar donatie</w:t>
            </w:r>
          </w:p>
        </w:tc>
        <w:tc>
          <w:tcPr>
            <w:tcW w:type="dxa" w:w="4680"/>
            <w:tcBorders>
              <w:top w:val="single" w:color="CCCCCC" w:sz="1"/>
              <w:left w:val="single" w:color="CCCCCC" w:sz="1"/>
              <w:bottom w:val="single" w:color="CCCCCC" w:sz="1"/>
              <w:right w:val="single" w:color="CCCCCC" w:sz="1"/>
            </w:tcBorders>
          </w:tcPr>
          <w:p>
            <w:r>
              <w:t xml:space="preserve">100 punten = €1 (gunstigere rate)</w:t>
            </w:r>
          </w:p>
        </w:tc>
      </w:tr>
    </w:tbl>
    <w:p>
      <w:pPr>
        <w:spacing w:before="200"/>
      </w:pPr>
      <w:r>
        <w:t xml:space="preserve">De asymmetrie tussen verdien- en uitbetalingsratio's (100 vs 150) stimuleert kinderen om punten te gebruiken voor in-app beloningen of donaties in plaats van directe uitbetaling, wat de economie gezond houdt.</w:t>
      </w:r>
    </w:p>
    <w:p>
      <w:pPr>
        <w:pStyle w:val="Heading1"/>
      </w:pPr>
      <w:r>
        <w:t xml:space="preserve">4. Implementatie Roadmap</w:t>
      </w:r>
    </w:p>
    <w:p>
      <w:pPr>
        <w:spacing w:after="120"/>
      </w:pPr>
      <w:r>
        <w:t xml:space="preserve">Gefaseerde uitrol minimaliseert risico en maximaliseert leermogelijkheden:</w:t>
      </w:r>
    </w:p>
    <w:p>
      <w:pPr>
        <w:pStyle w:val="Heading3"/>
      </w:pPr>
      <w:r>
        <w:t xml:space="preserve">Fase 1: Fundament (Week 1-2)</w:t>
      </w:r>
    </w:p>
    <w:p>
      <w:pPr>
        <w:pStyle w:val="ListParagraph"/>
        <w:numPr>
          <w:ilvl w:val="0"/>
          <w:numId w:val="3"/>
        </w:numPr>
        <w:spacing w:after="60"/>
      </w:pPr>
      <w:r>
        <w:t xml:space="preserve">XP-toekenning toevoegen aan bestaande klusgoedkeuringen</w:t>
      </w:r>
    </w:p>
    <w:p>
      <w:pPr>
        <w:pStyle w:val="ListParagraph"/>
        <w:numPr>
          <w:ilvl w:val="0"/>
          <w:numId w:val="3"/>
        </w:numPr>
        <w:spacing w:after="60"/>
      </w:pPr>
      <w:r>
        <w:t xml:space="preserve">Level-systeem implementeren met basisprestaties</w:t>
      </w:r>
    </w:p>
    <w:p>
      <w:pPr>
        <w:pStyle w:val="ListParagraph"/>
        <w:numPr>
          <w:ilvl w:val="0"/>
          <w:numId w:val="3"/>
        </w:numPr>
        <w:spacing w:after="200"/>
      </w:pPr>
      <w:r>
        <w:t xml:space="preserve">Analytics dashboard voor economische monitoring</w:t>
      </w:r>
    </w:p>
    <w:p>
      <w:pPr>
        <w:pStyle w:val="Heading3"/>
      </w:pPr>
      <w:r>
        <w:t xml:space="preserve">Fase 2: Uitbreiding (Week 3-4)</w:t>
      </w:r>
    </w:p>
    <w:p>
      <w:pPr>
        <w:pStyle w:val="ListParagraph"/>
        <w:numPr>
          <w:ilvl w:val="0"/>
          <w:numId w:val="3"/>
        </w:numPr>
        <w:spacing w:after="60"/>
      </w:pPr>
      <w:r>
        <w:t xml:space="preserve">Penalty-configuratiescherm voor ouders</w:t>
      </w:r>
    </w:p>
    <w:p>
      <w:pPr>
        <w:pStyle w:val="ListParagraph"/>
        <w:numPr>
          <w:ilvl w:val="0"/>
          <w:numId w:val="3"/>
        </w:numPr>
        <w:spacing w:after="60"/>
      </w:pPr>
      <w:r>
        <w:t xml:space="preserve">Nieuwe avatar-items en cosmetica toevoegen</w:t>
      </w:r>
    </w:p>
    <w:p>
      <w:pPr>
        <w:pStyle w:val="ListParagraph"/>
        <w:numPr>
          <w:ilvl w:val="0"/>
          <w:numId w:val="3"/>
        </w:numPr>
        <w:spacing w:after="200"/>
      </w:pPr>
      <w:r>
        <w:t xml:space="preserve">Conversieratio's documenteren en communiceren</w:t>
      </w:r>
    </w:p>
    <w:p>
      <w:pPr>
        <w:pStyle w:val="Heading3"/>
      </w:pPr>
      <w:r>
        <w:t xml:space="preserve">Fase 3: Optimalisatie (Week 5-6)</w:t>
      </w:r>
    </w:p>
    <w:p>
      <w:pPr>
        <w:pStyle w:val="ListParagraph"/>
        <w:numPr>
          <w:ilvl w:val="0"/>
          <w:numId w:val="3"/>
        </w:numPr>
        <w:spacing w:after="60"/>
      </w:pPr>
      <w:r>
        <w:t xml:space="preserve">Dynamische prijsaanpassing activeren (optioneel per familie)</w:t>
      </w:r>
    </w:p>
    <w:p>
      <w:pPr>
        <w:pStyle w:val="ListParagraph"/>
        <w:numPr>
          <w:ilvl w:val="0"/>
          <w:numId w:val="3"/>
        </w:numPr>
        <w:spacing w:after="60"/>
      </w:pPr>
      <w:r>
        <w:t xml:space="preserve">Seizoensgebonden event-framework opzetten</w:t>
      </w:r>
    </w:p>
    <w:p>
      <w:pPr>
        <w:pStyle w:val="ListParagraph"/>
        <w:numPr>
          <w:ilvl w:val="0"/>
          <w:numId w:val="3"/>
        </w:numPr>
        <w:spacing w:after="200"/>
      </w:pPr>
      <w:r>
        <w:t xml:space="preserve">A/B testing voor engagement-metrics</w:t>
      </w:r>
    </w:p>
    <w:p>
      <w:pPr>
        <w:pStyle w:val="Heading1"/>
      </w:pPr>
      <w:r>
        <w:t xml:space="preserve">Conclusie</w:t>
      </w:r>
    </w:p>
    <w:p>
      <w:pPr>
        <w:spacing w:after="200"/>
      </w:pPr>
      <w:r>
        <w:t xml:space="preserve">De voorgestelde optimalisaties versterken de fundamenten van het KlusjesKoning-puntensysteem zonder de kernervaring te verstoren. Door XP en punten duidelijk te scheiden, een proportioneel penalty-framework te introduceren, en proactief inflatie te beheersen, creëert de app een duurzaam en motiverend ecosysteem dat gezinnen jarenlang kan ondersteunen.</w:t>
      </w:r>
    </w:p>
    <w:p>
      <w:pPr>
        <w:spacing w:after="120"/>
      </w:pPr>
      <w:r>
        <w:t xml:space="preserve">De gefaseerde implementatie minimaliseert ontwikkelrisico's en biedt mogelijkheden voor iteratieve verbetering op basis van gebruikersgedrag. Met deze aanpassingen positioneert KlusjesKoning zich als marktleider in gamified family management.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c528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2025-11-27T13:30:25.289Z</dcterms:created>
  <dcterms:modified xsi:type="dcterms:W3CDTF">2025-11-27T13:30:25.290Z</dcterms:modified>
</cp:coreProperties>
</file>

<file path=docProps/custom.xml><?xml version="1.0" encoding="utf-8"?>
<Properties xmlns="http://schemas.openxmlformats.org/officeDocument/2006/custom-properties" xmlns:vt="http://schemas.openxmlformats.org/officeDocument/2006/docPropsVTypes"/>
</file>