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ECDAT Technical Report</w:t>
      </w:r>
    </w:p>
    <w:p>
      <w:pPr>
        <w:pStyle w:val="Subtitle"/>
      </w:pPr>
      <w:r>
        <w:t>Enterprise Cryptographic Discovery and Analysis Tool</w:t>
      </w:r>
    </w:p>
    <w:p>
      <w:r>
        <w:t>Team Visions • IMPACTX 2026 • 8 October 2026</w:t>
      </w:r>
    </w:p>
    <w:p>
      <w:pPr>
        <w:pStyle w:val="Heading1"/>
      </w:pPr>
      <w:r>
        <w:t>Executive overview</w:t>
      </w:r>
    </w:p>
    <w:p>
      <w:r>
        <w:t>ECDAT discovers cryptographic usage in local source repositories and presents an inventory with evidence, risk assessments, and post quantum migration guidance. This report describes the implemented system, the backend improvements completed for the hackathon, and the verification available for team development and technical review.</w:t>
      </w:r>
    </w:p>
    <w:p>
      <w:r>
        <w:t>The current local workflow has been verified from authenticated login through repository scanning, risk editing, reports, and a complete downloadable CBOM. The submission snapshot is available on the team development branch. Deployment to a hosted environment and PostgreSQL runtime verification remain pending; the evidence here supports the tested local configuration.</w:t>
      </w:r>
    </w:p>
    <w:p>
      <w:pPr>
        <w:pStyle w:val="Heading1"/>
      </w:pPr>
      <w:r>
        <w:t>Problem and scope</w:t>
      </w:r>
    </w:p>
    <w:p>
      <w:r>
        <w:t>Cryptographic algorithms, keys, and certificates can be distributed across source files and dependencies. Teams need traceable findings and consistent risk context before planning migration. ECDAT combines repository discovery with evidence aware assessment and reviewable exports.</w:t>
      </w:r>
    </w:p>
    <w:p>
      <w:r>
        <w:t>The current scope is source repository analysis. Findings are detection results and can require analyst confirmation. A schema valid export does not establish discovery completeness or prove an application is quantum safe. The software does not replace certificate lifecycle management, runtime cryptographic telemetry, or enterprise migration execution.</w:t>
      </w:r>
    </w:p>
    <w:p>
      <w:pPr>
        <w:pStyle w:val="Heading1"/>
      </w:pPr>
      <w:r>
        <w:t>Delivery status</w:t>
      </w:r>
    </w:p>
    <w:tbl>
      <w:tblPr>
        <w:tblStyle w:val="TableGrid"/>
        <w:tblW w:type="auto" w:w="0"/>
        <w:tblLook w:firstColumn="1" w:firstRow="1" w:lastColumn="0" w:lastRow="0" w:noHBand="0" w:noVBand="1" w:val="04A0"/>
      </w:tblPr>
      <w:tblGrid>
        <w:gridCol w:w="4896"/>
        <w:gridCol w:w="4896"/>
      </w:tblGrid>
      <w:tr>
        <w:trPr>
          <w:tblHeader/>
        </w:trPr>
        <w:tc>
          <w:tcPr>
            <w:tcW w:type="dxa" w:w="4896"/>
            <w:shd w:fill="E7EDF3"/>
            <w:tcBorders>
              <w:top w:val="single" w:sz="4" w:color="D9D9D9"/>
              <w:left w:val="single" w:sz="4" w:color="D9D9D9"/>
              <w:bottom w:val="single" w:sz="4" w:color="D9D9D9"/>
              <w:right w:val="single" w:sz="4" w:color="D9D9D9"/>
            </w:tcBorders>
          </w:tcPr>
          <w:p>
            <w:pPr>
              <w:spacing w:after="120" w:before="120"/>
            </w:pPr>
            <w:r>
              <w:rPr>
                <w:b/>
                <w:sz w:val="20"/>
              </w:rPr>
              <w:t>Area</w:t>
            </w:r>
          </w:p>
        </w:tc>
        <w:tc>
          <w:tcPr>
            <w:tcW w:type="dxa" w:w="4896"/>
            <w:shd w:fill="E7EDF3"/>
            <w:tcBorders>
              <w:top w:val="single" w:sz="4" w:color="D9D9D9"/>
              <w:left w:val="single" w:sz="4" w:color="D9D9D9"/>
              <w:bottom w:val="single" w:sz="4" w:color="D9D9D9"/>
              <w:right w:val="single" w:sz="4" w:color="D9D9D9"/>
            </w:tcBorders>
          </w:tcPr>
          <w:p>
            <w:pPr>
              <w:spacing w:after="120" w:before="120"/>
            </w:pPr>
            <w:r>
              <w:rPr>
                <w:b/>
                <w:sz w:val="20"/>
              </w:rPr>
              <w:t>Current status</w:t>
            </w:r>
          </w:p>
        </w:tc>
      </w:tr>
      <w:tr>
        <w:tc>
          <w:tcPr>
            <w:tcW w:type="dxa" w:w="4896"/>
            <w:shd w:fill="FFFFFF"/>
            <w:tcBorders>
              <w:top w:val="single" w:sz="4" w:color="D9D9D9"/>
              <w:left w:val="single" w:sz="4" w:color="D9D9D9"/>
              <w:bottom w:val="single" w:sz="4" w:color="D9D9D9"/>
              <w:right w:val="single" w:sz="4" w:color="D9D9D9"/>
            </w:tcBorders>
          </w:tcPr>
          <w:p>
            <w:pPr>
              <w:spacing w:after="120" w:before="120"/>
            </w:pPr>
            <w:r>
              <w:rPr>
                <w:b w:val="0"/>
                <w:sz w:val="20"/>
              </w:rPr>
              <w:t>Discovery and inventory</w:t>
            </w:r>
          </w:p>
        </w:tc>
        <w:tc>
          <w:tcPr>
            <w:tcW w:type="dxa" w:w="4896"/>
            <w:shd w:fill="FFFFFF"/>
            <w:tcBorders>
              <w:top w:val="single" w:sz="4" w:color="D9D9D9"/>
              <w:left w:val="single" w:sz="4" w:color="D9D9D9"/>
              <w:bottom w:val="single" w:sz="4" w:color="D9D9D9"/>
              <w:right w:val="single" w:sz="4" w:color="D9D9D9"/>
            </w:tcBorders>
          </w:tcPr>
          <w:p>
            <w:pPr>
              <w:spacing w:after="120" w:before="120"/>
            </w:pPr>
            <w:r>
              <w:rPr>
                <w:b w:val="0"/>
                <w:sz w:val="20"/>
              </w:rPr>
              <w:t>Implemented with local fixture verification</w:t>
            </w:r>
          </w:p>
        </w:tc>
      </w:tr>
      <w:tr>
        <w:tc>
          <w:tcPr>
            <w:tcW w:type="dxa" w:w="4896"/>
            <w:shd w:fill="F7F7F7"/>
            <w:tcBorders>
              <w:top w:val="single" w:sz="4" w:color="D9D9D9"/>
              <w:left w:val="single" w:sz="4" w:color="D9D9D9"/>
              <w:bottom w:val="single" w:sz="4" w:color="D9D9D9"/>
              <w:right w:val="single" w:sz="4" w:color="D9D9D9"/>
            </w:tcBorders>
          </w:tcPr>
          <w:p>
            <w:pPr>
              <w:spacing w:after="120" w:before="120"/>
            </w:pPr>
            <w:r>
              <w:rPr>
                <w:b w:val="0"/>
                <w:sz w:val="20"/>
              </w:rPr>
              <w:t>Risk context and provenance</w:t>
            </w:r>
          </w:p>
        </w:tc>
        <w:tc>
          <w:tcPr>
            <w:tcW w:type="dxa" w:w="4896"/>
            <w:shd w:fill="F7F7F7"/>
            <w:tcBorders>
              <w:top w:val="single" w:sz="4" w:color="D9D9D9"/>
              <w:left w:val="single" w:sz="4" w:color="D9D9D9"/>
              <w:bottom w:val="single" w:sz="4" w:color="D9D9D9"/>
              <w:right w:val="single" w:sz="4" w:color="D9D9D9"/>
            </w:tcBorders>
          </w:tcPr>
          <w:p>
            <w:pPr>
              <w:spacing w:after="120" w:before="120"/>
            </w:pPr>
            <w:r>
              <w:rPr>
                <w:b w:val="0"/>
                <w:sz w:val="20"/>
              </w:rPr>
              <w:t>Implemented and regression tested</w:t>
            </w:r>
          </w:p>
        </w:tc>
      </w:tr>
      <w:tr>
        <w:tc>
          <w:tcPr>
            <w:tcW w:type="dxa" w:w="4896"/>
            <w:shd w:fill="FFFFFF"/>
            <w:tcBorders>
              <w:top w:val="single" w:sz="4" w:color="D9D9D9"/>
              <w:left w:val="single" w:sz="4" w:color="D9D9D9"/>
              <w:bottom w:val="single" w:sz="4" w:color="D9D9D9"/>
              <w:right w:val="single" w:sz="4" w:color="D9D9D9"/>
            </w:tcBorders>
          </w:tcPr>
          <w:p>
            <w:pPr>
              <w:spacing w:after="120" w:before="120"/>
            </w:pPr>
            <w:r>
              <w:rPr>
                <w:b w:val="0"/>
                <w:sz w:val="20"/>
              </w:rPr>
              <w:t>Complete CBOM download</w:t>
            </w:r>
          </w:p>
        </w:tc>
        <w:tc>
          <w:tcPr>
            <w:tcW w:type="dxa" w:w="4896"/>
            <w:shd w:fill="FFFFFF"/>
            <w:tcBorders>
              <w:top w:val="single" w:sz="4" w:color="D9D9D9"/>
              <w:left w:val="single" w:sz="4" w:color="D9D9D9"/>
              <w:bottom w:val="single" w:sz="4" w:color="D9D9D9"/>
              <w:right w:val="single" w:sz="4" w:color="D9D9D9"/>
            </w:tcBorders>
          </w:tcPr>
          <w:p>
            <w:pPr>
              <w:spacing w:after="120" w:before="120"/>
            </w:pPr>
            <w:r>
              <w:rPr>
                <w:b w:val="0"/>
                <w:sz w:val="20"/>
              </w:rPr>
              <w:t>Implemented and integrated into the frontend</w:t>
            </w:r>
          </w:p>
        </w:tc>
      </w:tr>
      <w:tr>
        <w:tc>
          <w:tcPr>
            <w:tcW w:type="dxa" w:w="4896"/>
            <w:shd w:fill="F7F7F7"/>
            <w:tcBorders>
              <w:top w:val="single" w:sz="4" w:color="D9D9D9"/>
              <w:left w:val="single" w:sz="4" w:color="D9D9D9"/>
              <w:bottom w:val="single" w:sz="4" w:color="D9D9D9"/>
              <w:right w:val="single" w:sz="4" w:color="D9D9D9"/>
            </w:tcBorders>
          </w:tcPr>
          <w:p>
            <w:pPr>
              <w:spacing w:after="120" w:before="120"/>
            </w:pPr>
            <w:r>
              <w:rPr>
                <w:b w:val="0"/>
                <w:sz w:val="20"/>
              </w:rPr>
              <w:t>Frontend redesign</w:t>
            </w:r>
          </w:p>
        </w:tc>
        <w:tc>
          <w:tcPr>
            <w:tcW w:type="dxa" w:w="4896"/>
            <w:shd w:fill="F7F7F7"/>
            <w:tcBorders>
              <w:top w:val="single" w:sz="4" w:color="D9D9D9"/>
              <w:left w:val="single" w:sz="4" w:color="D9D9D9"/>
              <w:bottom w:val="single" w:sz="4" w:color="D9D9D9"/>
              <w:right w:val="single" w:sz="4" w:color="D9D9D9"/>
            </w:tcBorders>
          </w:tcPr>
          <w:p>
            <w:pPr>
              <w:spacing w:after="120" w:before="120"/>
            </w:pPr>
            <w:r>
              <w:rPr>
                <w:b w:val="0"/>
                <w:sz w:val="20"/>
              </w:rPr>
              <w:t>Assigned to the frontend team</w:t>
            </w:r>
          </w:p>
        </w:tc>
      </w:tr>
      <w:tr>
        <w:tc>
          <w:tcPr>
            <w:tcW w:type="dxa" w:w="4896"/>
            <w:shd w:fill="FFFFFF"/>
            <w:tcBorders>
              <w:top w:val="single" w:sz="4" w:color="D9D9D9"/>
              <w:left w:val="single" w:sz="4" w:color="D9D9D9"/>
              <w:bottom w:val="single" w:sz="4" w:color="D9D9D9"/>
              <w:right w:val="single" w:sz="4" w:color="D9D9D9"/>
            </w:tcBorders>
          </w:tcPr>
          <w:p>
            <w:pPr>
              <w:spacing w:after="120" w:before="120"/>
            </w:pPr>
            <w:r>
              <w:rPr>
                <w:b w:val="0"/>
                <w:sz w:val="20"/>
              </w:rPr>
              <w:t>Hosted and PostgreSQL runtime</w:t>
            </w:r>
          </w:p>
        </w:tc>
        <w:tc>
          <w:tcPr>
            <w:tcW w:type="dxa" w:w="4896"/>
            <w:shd w:fill="FFFFFF"/>
            <w:tcBorders>
              <w:top w:val="single" w:sz="4" w:color="D9D9D9"/>
              <w:left w:val="single" w:sz="4" w:color="D9D9D9"/>
              <w:bottom w:val="single" w:sz="4" w:color="D9D9D9"/>
              <w:right w:val="single" w:sz="4" w:color="D9D9D9"/>
            </w:tcBorders>
          </w:tcPr>
          <w:p>
            <w:pPr>
              <w:spacing w:after="120" w:before="120"/>
            </w:pPr>
            <w:r>
              <w:rPr>
                <w:b w:val="0"/>
                <w:sz w:val="20"/>
              </w:rPr>
              <w:t>Not verified in this work session</w:t>
            </w:r>
          </w:p>
        </w:tc>
      </w:tr>
      <w:tr>
        <w:tc>
          <w:tcPr>
            <w:tcW w:type="dxa" w:w="4896"/>
            <w:shd w:fill="F7F7F7"/>
            <w:tcBorders>
              <w:top w:val="single" w:sz="4" w:color="D9D9D9"/>
              <w:left w:val="single" w:sz="4" w:color="D9D9D9"/>
              <w:bottom w:val="single" w:sz="4" w:color="D9D9D9"/>
              <w:right w:val="single" w:sz="4" w:color="D9D9D9"/>
            </w:tcBorders>
          </w:tcPr>
          <w:p>
            <w:pPr>
              <w:spacing w:after="120" w:before="120"/>
            </w:pPr>
            <w:r>
              <w:rPr>
                <w:b w:val="0"/>
                <w:sz w:val="20"/>
              </w:rPr>
              <w:t>Dependency security review</w:t>
            </w:r>
          </w:p>
        </w:tc>
        <w:tc>
          <w:tcPr>
            <w:tcW w:type="dxa" w:w="4896"/>
            <w:shd w:fill="F7F7F7"/>
            <w:tcBorders>
              <w:top w:val="single" w:sz="4" w:color="D9D9D9"/>
              <w:left w:val="single" w:sz="4" w:color="D9D9D9"/>
              <w:bottom w:val="single" w:sz="4" w:color="D9D9D9"/>
              <w:right w:val="single" w:sz="4" w:color="D9D9D9"/>
            </w:tcBorders>
          </w:tcPr>
          <w:p>
            <w:pPr>
              <w:spacing w:after="120" w:before="120"/>
            </w:pPr>
            <w:r>
              <w:rPr>
                <w:b w:val="0"/>
                <w:sz w:val="20"/>
              </w:rPr>
              <w:t>Incomplete; two high severity frontend advisories recorded</w:t>
            </w:r>
          </w:p>
        </w:tc>
      </w:tr>
    </w:tbl>
    <w:p>
      <w:r>
        <w:br w:type="page"/>
      </w:r>
    </w:p>
    <w:p>
      <w:pPr>
        <w:pStyle w:val="Heading1"/>
      </w:pPr>
      <w:r>
        <w:t>System architecture</w:t>
      </w:r>
    </w:p>
    <w:p>
      <w:r>
        <w:t>The React dashboard sends authenticated requests to a FastAPI service. The service stores scans, findings, and audit records through SQLAlchemy, and runs the repository scanner as a supervised background operation. Local development uses SQLite; the container setup supports PostgreSQL.</w:t>
      </w:r>
    </w:p>
    <w:tbl>
      <w:tblPr>
        <w:tblStyle w:val="TableGrid"/>
        <w:tblW w:type="auto" w:w="0"/>
        <w:tblLook w:firstColumn="1" w:firstRow="1" w:lastColumn="0" w:lastRow="0" w:noHBand="0" w:noVBand="1" w:val="04A0"/>
      </w:tblPr>
      <w:tblGrid>
        <w:gridCol w:w="4896"/>
        <w:gridCol w:w="4896"/>
      </w:tblGrid>
      <w:tr>
        <w:trPr>
          <w:tblHeader/>
        </w:trPr>
        <w:tc>
          <w:tcPr>
            <w:tcW w:type="dxa" w:w="4896"/>
            <w:shd w:fill="E7EDF3"/>
            <w:tcBorders>
              <w:top w:val="single" w:sz="4" w:color="D9D9D9"/>
              <w:left w:val="single" w:sz="4" w:color="D9D9D9"/>
              <w:bottom w:val="single" w:sz="4" w:color="D9D9D9"/>
              <w:right w:val="single" w:sz="4" w:color="D9D9D9"/>
            </w:tcBorders>
          </w:tcPr>
          <w:p>
            <w:pPr>
              <w:spacing w:after="120" w:before="120"/>
            </w:pPr>
            <w:r>
              <w:rPr>
                <w:b/>
                <w:sz w:val="20"/>
              </w:rPr>
              <w:t>Layer</w:t>
            </w:r>
          </w:p>
        </w:tc>
        <w:tc>
          <w:tcPr>
            <w:tcW w:type="dxa" w:w="4896"/>
            <w:shd w:fill="E7EDF3"/>
            <w:tcBorders>
              <w:top w:val="single" w:sz="4" w:color="D9D9D9"/>
              <w:left w:val="single" w:sz="4" w:color="D9D9D9"/>
              <w:bottom w:val="single" w:sz="4" w:color="D9D9D9"/>
              <w:right w:val="single" w:sz="4" w:color="D9D9D9"/>
            </w:tcBorders>
          </w:tcPr>
          <w:p>
            <w:pPr>
              <w:spacing w:after="120" w:before="120"/>
            </w:pPr>
            <w:r>
              <w:rPr>
                <w:b/>
                <w:sz w:val="20"/>
              </w:rPr>
              <w:t>Technology and responsibility</w:t>
            </w:r>
          </w:p>
        </w:tc>
      </w:tr>
      <w:tr>
        <w:tc>
          <w:tcPr>
            <w:tcW w:type="dxa" w:w="4896"/>
            <w:shd w:fill="FFFFFF"/>
            <w:tcBorders>
              <w:top w:val="single" w:sz="4" w:color="D9D9D9"/>
              <w:left w:val="single" w:sz="4" w:color="D9D9D9"/>
              <w:bottom w:val="single" w:sz="4" w:color="D9D9D9"/>
              <w:right w:val="single" w:sz="4" w:color="D9D9D9"/>
            </w:tcBorders>
          </w:tcPr>
          <w:p>
            <w:pPr>
              <w:spacing w:after="120" w:before="120"/>
            </w:pPr>
            <w:r>
              <w:rPr>
                <w:b w:val="0"/>
                <w:sz w:val="20"/>
              </w:rPr>
              <w:t>Dashboard</w:t>
            </w:r>
          </w:p>
        </w:tc>
        <w:tc>
          <w:tcPr>
            <w:tcW w:type="dxa" w:w="4896"/>
            <w:shd w:fill="FFFFFF"/>
            <w:tcBorders>
              <w:top w:val="single" w:sz="4" w:color="D9D9D9"/>
              <w:left w:val="single" w:sz="4" w:color="D9D9D9"/>
              <w:bottom w:val="single" w:sz="4" w:color="D9D9D9"/>
              <w:right w:val="single" w:sz="4" w:color="D9D9D9"/>
            </w:tcBorders>
          </w:tcPr>
          <w:p>
            <w:pPr>
              <w:spacing w:after="120" w:before="120"/>
            </w:pPr>
            <w:r>
              <w:rPr>
                <w:b w:val="0"/>
                <w:sz w:val="20"/>
              </w:rPr>
              <w:t>React 18, TypeScript, Vite; inventory, risk context, reports, scan status and downloads</w:t>
            </w:r>
          </w:p>
        </w:tc>
      </w:tr>
      <w:tr>
        <w:tc>
          <w:tcPr>
            <w:tcW w:type="dxa" w:w="4896"/>
            <w:shd w:fill="F7F7F7"/>
            <w:tcBorders>
              <w:top w:val="single" w:sz="4" w:color="D9D9D9"/>
              <w:left w:val="single" w:sz="4" w:color="D9D9D9"/>
              <w:bottom w:val="single" w:sz="4" w:color="D9D9D9"/>
              <w:right w:val="single" w:sz="4" w:color="D9D9D9"/>
            </w:tcBorders>
          </w:tcPr>
          <w:p>
            <w:pPr>
              <w:spacing w:after="120" w:before="120"/>
            </w:pPr>
            <w:r>
              <w:rPr>
                <w:b w:val="0"/>
                <w:sz w:val="20"/>
              </w:rPr>
              <w:t>API</w:t>
            </w:r>
          </w:p>
        </w:tc>
        <w:tc>
          <w:tcPr>
            <w:tcW w:type="dxa" w:w="4896"/>
            <w:shd w:fill="F7F7F7"/>
            <w:tcBorders>
              <w:top w:val="single" w:sz="4" w:color="D9D9D9"/>
              <w:left w:val="single" w:sz="4" w:color="D9D9D9"/>
              <w:bottom w:val="single" w:sz="4" w:color="D9D9D9"/>
              <w:right w:val="single" w:sz="4" w:color="D9D9D9"/>
            </w:tcBorders>
          </w:tcPr>
          <w:p>
            <w:pPr>
              <w:spacing w:after="120" w:before="120"/>
            </w:pPr>
            <w:r>
              <w:rPr>
                <w:b w:val="0"/>
                <w:sz w:val="20"/>
              </w:rPr>
              <w:t>FastAPI; authentication, role checks, validation, scans, assets and export routes</w:t>
            </w:r>
          </w:p>
        </w:tc>
      </w:tr>
      <w:tr>
        <w:tc>
          <w:tcPr>
            <w:tcW w:type="dxa" w:w="4896"/>
            <w:shd w:fill="FFFFFF"/>
            <w:tcBorders>
              <w:top w:val="single" w:sz="4" w:color="D9D9D9"/>
              <w:left w:val="single" w:sz="4" w:color="D9D9D9"/>
              <w:bottom w:val="single" w:sz="4" w:color="D9D9D9"/>
              <w:right w:val="single" w:sz="4" w:color="D9D9D9"/>
            </w:tcBorders>
          </w:tcPr>
          <w:p>
            <w:pPr>
              <w:spacing w:after="120" w:before="120"/>
            </w:pPr>
            <w:r>
              <w:rPr>
                <w:b w:val="0"/>
                <w:sz w:val="20"/>
              </w:rPr>
              <w:t>Persistence</w:t>
            </w:r>
          </w:p>
        </w:tc>
        <w:tc>
          <w:tcPr>
            <w:tcW w:type="dxa" w:w="4896"/>
            <w:shd w:fill="FFFFFF"/>
            <w:tcBorders>
              <w:top w:val="single" w:sz="4" w:color="D9D9D9"/>
              <w:left w:val="single" w:sz="4" w:color="D9D9D9"/>
              <w:bottom w:val="single" w:sz="4" w:color="D9D9D9"/>
              <w:right w:val="single" w:sz="4" w:color="D9D9D9"/>
            </w:tcBorders>
          </w:tcPr>
          <w:p>
            <w:pPr>
              <w:spacing w:after="120" w:before="120"/>
            </w:pPr>
            <w:r>
              <w:rPr>
                <w:b w:val="0"/>
                <w:sz w:val="20"/>
              </w:rPr>
              <w:t>SQLAlchemy and Alembic; scan records, finding metadata and audit history</w:t>
            </w:r>
          </w:p>
        </w:tc>
      </w:tr>
      <w:tr>
        <w:tc>
          <w:tcPr>
            <w:tcW w:type="dxa" w:w="4896"/>
            <w:shd w:fill="F7F7F7"/>
            <w:tcBorders>
              <w:top w:val="single" w:sz="4" w:color="D9D9D9"/>
              <w:left w:val="single" w:sz="4" w:color="D9D9D9"/>
              <w:bottom w:val="single" w:sz="4" w:color="D9D9D9"/>
              <w:right w:val="single" w:sz="4" w:color="D9D9D9"/>
            </w:tcBorders>
          </w:tcPr>
          <w:p>
            <w:pPr>
              <w:spacing w:after="120" w:before="120"/>
            </w:pPr>
            <w:r>
              <w:rPr>
                <w:b w:val="0"/>
                <w:sz w:val="20"/>
              </w:rPr>
              <w:t>Scanner</w:t>
            </w:r>
          </w:p>
        </w:tc>
        <w:tc>
          <w:tcPr>
            <w:tcW w:type="dxa" w:w="4896"/>
            <w:shd w:fill="F7F7F7"/>
            <w:tcBorders>
              <w:top w:val="single" w:sz="4" w:color="D9D9D9"/>
              <w:left w:val="single" w:sz="4" w:color="D9D9D9"/>
              <w:bottom w:val="single" w:sz="4" w:color="D9D9D9"/>
              <w:right w:val="single" w:sz="4" w:color="D9D9D9"/>
            </w:tcBorders>
          </w:tcPr>
          <w:p>
            <w:pPr>
              <w:spacing w:after="120" w:before="120"/>
            </w:pPr>
            <w:r>
              <w:rPr>
                <w:b w:val="0"/>
                <w:sz w:val="20"/>
              </w:rPr>
              <w:t>Python repository traversal and cryptographic pattern detection</w:t>
            </w:r>
          </w:p>
        </w:tc>
      </w:tr>
      <w:tr>
        <w:tc>
          <w:tcPr>
            <w:tcW w:type="dxa" w:w="4896"/>
            <w:shd w:fill="FFFFFF"/>
            <w:tcBorders>
              <w:top w:val="single" w:sz="4" w:color="D9D9D9"/>
              <w:left w:val="single" w:sz="4" w:color="D9D9D9"/>
              <w:bottom w:val="single" w:sz="4" w:color="D9D9D9"/>
              <w:right w:val="single" w:sz="4" w:color="D9D9D9"/>
            </w:tcBorders>
          </w:tcPr>
          <w:p>
            <w:pPr>
              <w:spacing w:after="120" w:before="120"/>
            </w:pPr>
            <w:r>
              <w:rPr>
                <w:b w:val="0"/>
                <w:sz w:val="20"/>
              </w:rPr>
              <w:t>Export validation</w:t>
            </w:r>
          </w:p>
        </w:tc>
        <w:tc>
          <w:tcPr>
            <w:tcW w:type="dxa" w:w="4896"/>
            <w:shd w:fill="FFFFFF"/>
            <w:tcBorders>
              <w:top w:val="single" w:sz="4" w:color="D9D9D9"/>
              <w:left w:val="single" w:sz="4" w:color="D9D9D9"/>
              <w:bottom w:val="single" w:sz="4" w:color="D9D9D9"/>
              <w:right w:val="single" w:sz="4" w:color="D9D9D9"/>
            </w:tcBorders>
          </w:tcPr>
          <w:p>
            <w:pPr>
              <w:spacing w:after="120" w:before="120"/>
            </w:pPr>
            <w:r>
              <w:rPr>
                <w:b w:val="0"/>
                <w:sz w:val="20"/>
              </w:rPr>
              <w:t>jsonschema with pinned local CycloneDX 1.6, SPDX and JSF schemas</w:t>
            </w:r>
          </w:p>
        </w:tc>
      </w:tr>
    </w:tbl>
    <w:p>
      <w:pPr>
        <w:pStyle w:val="Heading2"/>
      </w:pPr>
      <w:r>
        <w:t>End to end flow</w:t>
      </w:r>
    </w:p>
    <w:p>
      <w:r>
        <w:t>1. A user signs in and receives a session token. 2. A permitted user submits an allowed repository path. 3. The scanner processes files and persists findings with evidence and assessment context. 4. The dashboard loads paginated inventory and scan progress. 5. Authorized reviewers edit risk context; changes and audit records commit together. 6. The user downloads a complete validated CBOM for the selected completed scan.</w:t>
      </w:r>
    </w:p>
    <w:p>
      <w:pPr>
        <w:pStyle w:val="Heading2"/>
      </w:pPr>
      <w:r>
        <w:t>Access and local configuration</w:t>
      </w:r>
    </w:p>
    <w:p>
      <w:r>
        <w:t>Admin and Security Analyst roles may edit asset risk context. Read only roles cannot perform these edits. Required local configuration includes a signing secret and account JSON. Scan roots can be allowlisted. Private configuration, databases, dependencies, logs and temporary outputs are excluded from version control.</w:t>
      </w:r>
    </w:p>
    <w:p>
      <w:pPr>
        <w:pStyle w:val="Heading2"/>
      </w:pPr>
      <w:r>
        <w:t>Important routes</w:t>
      </w:r>
    </w:p>
    <w:tbl>
      <w:tblPr>
        <w:tblStyle w:val="TableGrid"/>
        <w:tblW w:type="auto" w:w="0"/>
        <w:tblLook w:firstColumn="1" w:firstRow="1" w:lastColumn="0" w:lastRow="0" w:noHBand="0" w:noVBand="1" w:val="04A0"/>
      </w:tblPr>
      <w:tblGrid>
        <w:gridCol w:w="4896"/>
        <w:gridCol w:w="4896"/>
      </w:tblGrid>
      <w:tr>
        <w:trPr>
          <w:tblHeader/>
        </w:trPr>
        <w:tc>
          <w:tcPr>
            <w:tcW w:type="dxa" w:w="4896"/>
            <w:shd w:fill="E7EDF3"/>
            <w:tcBorders>
              <w:top w:val="single" w:sz="4" w:color="D9D9D9"/>
              <w:left w:val="single" w:sz="4" w:color="D9D9D9"/>
              <w:bottom w:val="single" w:sz="4" w:color="D9D9D9"/>
              <w:right w:val="single" w:sz="4" w:color="D9D9D9"/>
            </w:tcBorders>
          </w:tcPr>
          <w:p>
            <w:pPr>
              <w:spacing w:after="120" w:before="120"/>
            </w:pPr>
            <w:r>
              <w:rPr>
                <w:b/>
                <w:sz w:val="20"/>
              </w:rPr>
              <w:t>Route</w:t>
            </w:r>
          </w:p>
        </w:tc>
        <w:tc>
          <w:tcPr>
            <w:tcW w:type="dxa" w:w="4896"/>
            <w:shd w:fill="E7EDF3"/>
            <w:tcBorders>
              <w:top w:val="single" w:sz="4" w:color="D9D9D9"/>
              <w:left w:val="single" w:sz="4" w:color="D9D9D9"/>
              <w:bottom w:val="single" w:sz="4" w:color="D9D9D9"/>
              <w:right w:val="single" w:sz="4" w:color="D9D9D9"/>
            </w:tcBorders>
          </w:tcPr>
          <w:p>
            <w:pPr>
              <w:spacing w:after="120" w:before="120"/>
            </w:pPr>
            <w:r>
              <w:rPr>
                <w:b/>
                <w:sz w:val="20"/>
              </w:rPr>
              <w:t>Purpose</w:t>
            </w:r>
          </w:p>
        </w:tc>
      </w:tr>
      <w:tr>
        <w:tc>
          <w:tcPr>
            <w:tcW w:type="dxa" w:w="4896"/>
            <w:shd w:fill="FFFFFF"/>
            <w:tcBorders>
              <w:top w:val="single" w:sz="4" w:color="D9D9D9"/>
              <w:left w:val="single" w:sz="4" w:color="D9D9D9"/>
              <w:bottom w:val="single" w:sz="4" w:color="D9D9D9"/>
              <w:right w:val="single" w:sz="4" w:color="D9D9D9"/>
            </w:tcBorders>
          </w:tcPr>
          <w:p>
            <w:pPr>
              <w:spacing w:after="120" w:before="120"/>
            </w:pPr>
            <w:r>
              <w:rPr>
                <w:b w:val="0"/>
                <w:sz w:val="20"/>
              </w:rPr>
              <w:t>POST /api/auth/login</w:t>
            </w:r>
          </w:p>
        </w:tc>
        <w:tc>
          <w:tcPr>
            <w:tcW w:type="dxa" w:w="4896"/>
            <w:shd w:fill="FFFFFF"/>
            <w:tcBorders>
              <w:top w:val="single" w:sz="4" w:color="D9D9D9"/>
              <w:left w:val="single" w:sz="4" w:color="D9D9D9"/>
              <w:bottom w:val="single" w:sz="4" w:color="D9D9D9"/>
              <w:right w:val="single" w:sz="4" w:color="D9D9D9"/>
            </w:tcBorders>
          </w:tcPr>
          <w:p>
            <w:pPr>
              <w:spacing w:after="120" w:before="120"/>
            </w:pPr>
            <w:r>
              <w:rPr>
                <w:b w:val="0"/>
                <w:sz w:val="20"/>
              </w:rPr>
              <w:t>Authenticated session creation</w:t>
            </w:r>
          </w:p>
        </w:tc>
      </w:tr>
      <w:tr>
        <w:tc>
          <w:tcPr>
            <w:tcW w:type="dxa" w:w="4896"/>
            <w:shd w:fill="F7F7F7"/>
            <w:tcBorders>
              <w:top w:val="single" w:sz="4" w:color="D9D9D9"/>
              <w:left w:val="single" w:sz="4" w:color="D9D9D9"/>
              <w:bottom w:val="single" w:sz="4" w:color="D9D9D9"/>
              <w:right w:val="single" w:sz="4" w:color="D9D9D9"/>
            </w:tcBorders>
          </w:tcPr>
          <w:p>
            <w:pPr>
              <w:spacing w:after="120" w:before="120"/>
            </w:pPr>
            <w:r>
              <w:rPr>
                <w:b w:val="0"/>
                <w:sz w:val="20"/>
              </w:rPr>
              <w:t>POST /api/scan</w:t>
            </w:r>
          </w:p>
        </w:tc>
        <w:tc>
          <w:tcPr>
            <w:tcW w:type="dxa" w:w="4896"/>
            <w:shd w:fill="F7F7F7"/>
            <w:tcBorders>
              <w:top w:val="single" w:sz="4" w:color="D9D9D9"/>
              <w:left w:val="single" w:sz="4" w:color="D9D9D9"/>
              <w:bottom w:val="single" w:sz="4" w:color="D9D9D9"/>
              <w:right w:val="single" w:sz="4" w:color="D9D9D9"/>
            </w:tcBorders>
          </w:tcPr>
          <w:p>
            <w:pPr>
              <w:spacing w:after="120" w:before="120"/>
            </w:pPr>
            <w:r>
              <w:rPr>
                <w:b w:val="0"/>
                <w:sz w:val="20"/>
              </w:rPr>
              <w:t>Start a repository scan</w:t>
            </w:r>
          </w:p>
        </w:tc>
      </w:tr>
      <w:tr>
        <w:tc>
          <w:tcPr>
            <w:tcW w:type="dxa" w:w="4896"/>
            <w:shd w:fill="FFFFFF"/>
            <w:tcBorders>
              <w:top w:val="single" w:sz="4" w:color="D9D9D9"/>
              <w:left w:val="single" w:sz="4" w:color="D9D9D9"/>
              <w:bottom w:val="single" w:sz="4" w:color="D9D9D9"/>
              <w:right w:val="single" w:sz="4" w:color="D9D9D9"/>
            </w:tcBorders>
          </w:tcPr>
          <w:p>
            <w:pPr>
              <w:spacing w:after="120" w:before="120"/>
            </w:pPr>
            <w:r>
              <w:rPr>
                <w:b w:val="0"/>
                <w:sz w:val="20"/>
              </w:rPr>
              <w:t>GET /api/assets</w:t>
            </w:r>
          </w:p>
        </w:tc>
        <w:tc>
          <w:tcPr>
            <w:tcW w:type="dxa" w:w="4896"/>
            <w:shd w:fill="FFFFFF"/>
            <w:tcBorders>
              <w:top w:val="single" w:sz="4" w:color="D9D9D9"/>
              <w:left w:val="single" w:sz="4" w:color="D9D9D9"/>
              <w:bottom w:val="single" w:sz="4" w:color="D9D9D9"/>
              <w:right w:val="single" w:sz="4" w:color="D9D9D9"/>
            </w:tcBorders>
          </w:tcPr>
          <w:p>
            <w:pPr>
              <w:spacing w:after="120" w:before="120"/>
            </w:pPr>
            <w:r>
              <w:rPr>
                <w:b w:val="0"/>
                <w:sz w:val="20"/>
              </w:rPr>
              <w:t>Paginated finding inventory</w:t>
            </w:r>
          </w:p>
        </w:tc>
      </w:tr>
      <w:tr>
        <w:tc>
          <w:tcPr>
            <w:tcW w:type="dxa" w:w="4896"/>
            <w:shd w:fill="F7F7F7"/>
            <w:tcBorders>
              <w:top w:val="single" w:sz="4" w:color="D9D9D9"/>
              <w:left w:val="single" w:sz="4" w:color="D9D9D9"/>
              <w:bottom w:val="single" w:sz="4" w:color="D9D9D9"/>
              <w:right w:val="single" w:sz="4" w:color="D9D9D9"/>
            </w:tcBorders>
          </w:tcPr>
          <w:p>
            <w:pPr>
              <w:spacing w:after="120" w:before="120"/>
            </w:pPr>
            <w:r>
              <w:rPr>
                <w:b w:val="0"/>
                <w:sz w:val="20"/>
              </w:rPr>
              <w:t>PATCH /api/assets/{id}</w:t>
            </w:r>
          </w:p>
        </w:tc>
        <w:tc>
          <w:tcPr>
            <w:tcW w:type="dxa" w:w="4896"/>
            <w:shd w:fill="F7F7F7"/>
            <w:tcBorders>
              <w:top w:val="single" w:sz="4" w:color="D9D9D9"/>
              <w:left w:val="single" w:sz="4" w:color="D9D9D9"/>
              <w:bottom w:val="single" w:sz="4" w:color="D9D9D9"/>
              <w:right w:val="single" w:sz="4" w:color="D9D9D9"/>
            </w:tcBorders>
          </w:tcPr>
          <w:p>
            <w:pPr>
              <w:spacing w:after="120" w:before="120"/>
            </w:pPr>
            <w:r>
              <w:rPr>
                <w:b w:val="0"/>
                <w:sz w:val="20"/>
              </w:rPr>
              <w:t>Edit supported risk context</w:t>
            </w:r>
          </w:p>
        </w:tc>
      </w:tr>
      <w:tr>
        <w:tc>
          <w:tcPr>
            <w:tcW w:type="dxa" w:w="4896"/>
            <w:shd w:fill="FFFFFF"/>
            <w:tcBorders>
              <w:top w:val="single" w:sz="4" w:color="D9D9D9"/>
              <w:left w:val="single" w:sz="4" w:color="D9D9D9"/>
              <w:bottom w:val="single" w:sz="4" w:color="D9D9D9"/>
              <w:right w:val="single" w:sz="4" w:color="D9D9D9"/>
            </w:tcBorders>
          </w:tcPr>
          <w:p>
            <w:pPr>
              <w:spacing w:after="120" w:before="120"/>
            </w:pPr>
            <w:r>
              <w:rPr>
                <w:b w:val="0"/>
                <w:sz w:val="20"/>
              </w:rPr>
              <w:t>GET /api/reports/risk</w:t>
            </w:r>
          </w:p>
        </w:tc>
        <w:tc>
          <w:tcPr>
            <w:tcW w:type="dxa" w:w="4896"/>
            <w:shd w:fill="FFFFFF"/>
            <w:tcBorders>
              <w:top w:val="single" w:sz="4" w:color="D9D9D9"/>
              <w:left w:val="single" w:sz="4" w:color="D9D9D9"/>
              <w:bottom w:val="single" w:sz="4" w:color="D9D9D9"/>
              <w:right w:val="single" w:sz="4" w:color="D9D9D9"/>
            </w:tcBorders>
          </w:tcPr>
          <w:p>
            <w:pPr>
              <w:spacing w:after="120" w:before="120"/>
            </w:pPr>
            <w:r>
              <w:rPr>
                <w:b w:val="0"/>
                <w:sz w:val="20"/>
              </w:rPr>
              <w:t>Risk report summary</w:t>
            </w:r>
          </w:p>
        </w:tc>
      </w:tr>
      <w:tr>
        <w:tc>
          <w:tcPr>
            <w:tcW w:type="dxa" w:w="4896"/>
            <w:shd w:fill="F7F7F7"/>
            <w:tcBorders>
              <w:top w:val="single" w:sz="4" w:color="D9D9D9"/>
              <w:left w:val="single" w:sz="4" w:color="D9D9D9"/>
              <w:bottom w:val="single" w:sz="4" w:color="D9D9D9"/>
              <w:right w:val="single" w:sz="4" w:color="D9D9D9"/>
            </w:tcBorders>
          </w:tcPr>
          <w:p>
            <w:pPr>
              <w:spacing w:after="120" w:before="120"/>
            </w:pPr>
            <w:r>
              <w:rPr>
                <w:b w:val="0"/>
                <w:sz w:val="20"/>
              </w:rPr>
              <w:t>GET /api/exports/cbom</w:t>
            </w:r>
          </w:p>
        </w:tc>
        <w:tc>
          <w:tcPr>
            <w:tcW w:type="dxa" w:w="4896"/>
            <w:shd w:fill="F7F7F7"/>
            <w:tcBorders>
              <w:top w:val="single" w:sz="4" w:color="D9D9D9"/>
              <w:left w:val="single" w:sz="4" w:color="D9D9D9"/>
              <w:bottom w:val="single" w:sz="4" w:color="D9D9D9"/>
              <w:right w:val="single" w:sz="4" w:color="D9D9D9"/>
            </w:tcBorders>
          </w:tcPr>
          <w:p>
            <w:pPr>
              <w:spacing w:after="120" w:before="120"/>
            </w:pPr>
            <w:r>
              <w:rPr>
                <w:b w:val="0"/>
                <w:sz w:val="20"/>
              </w:rPr>
              <w:t>Complete standalone CBOM download</w:t>
            </w:r>
          </w:p>
        </w:tc>
      </w:tr>
      <w:tr>
        <w:tc>
          <w:tcPr>
            <w:tcW w:type="dxa" w:w="4896"/>
            <w:shd w:fill="FFFFFF"/>
            <w:tcBorders>
              <w:top w:val="single" w:sz="4" w:color="D9D9D9"/>
              <w:left w:val="single" w:sz="4" w:color="D9D9D9"/>
              <w:bottom w:val="single" w:sz="4" w:color="D9D9D9"/>
              <w:right w:val="single" w:sz="4" w:color="D9D9D9"/>
            </w:tcBorders>
          </w:tcPr>
          <w:p>
            <w:pPr>
              <w:spacing w:after="120" w:before="120"/>
            </w:pPr>
            <w:r>
              <w:rPr>
                <w:b w:val="0"/>
                <w:sz w:val="20"/>
              </w:rPr>
              <w:t>GET /ready</w:t>
            </w:r>
          </w:p>
        </w:tc>
        <w:tc>
          <w:tcPr>
            <w:tcW w:type="dxa" w:w="4896"/>
            <w:shd w:fill="FFFFFF"/>
            <w:tcBorders>
              <w:top w:val="single" w:sz="4" w:color="D9D9D9"/>
              <w:left w:val="single" w:sz="4" w:color="D9D9D9"/>
              <w:bottom w:val="single" w:sz="4" w:color="D9D9D9"/>
              <w:right w:val="single" w:sz="4" w:color="D9D9D9"/>
            </w:tcBorders>
          </w:tcPr>
          <w:p>
            <w:pPr>
              <w:spacing w:after="120" w:before="120"/>
            </w:pPr>
            <w:r>
              <w:rPr>
                <w:b w:val="0"/>
                <w:sz w:val="20"/>
              </w:rPr>
              <w:t>Database and schema readiness</w:t>
            </w:r>
          </w:p>
        </w:tc>
      </w:tr>
    </w:tbl>
    <w:p>
      <w:r>
        <w:br w:type="page"/>
      </w:r>
    </w:p>
    <w:p>
      <w:pPr>
        <w:pStyle w:val="Heading1"/>
      </w:pPr>
      <w:r>
        <w:t>Implemented backend improvements</w:t>
      </w:r>
    </w:p>
    <w:p>
      <w:pPr>
        <w:pStyle w:val="Heading2"/>
      </w:pPr>
      <w:r>
        <w:t>Consistent risk assessment</w:t>
      </w:r>
    </w:p>
    <w:p>
      <w:r>
        <w:t>A reproduced inconsistency caused direct risk assessment to use a zero year window for absent lifetime and migration inputs, while scanner assessment used 13 years. A shared risk policy now supplies medium criticality, sensitivity and migration effort, a 10 year data lifetime, a 3 year migration period, internal exposure, and a default 15 year threat horizon. The configured bounded horizon override remains supported. Explicit values, including zero numeric values, remain authoritative.</w:t>
      </w:r>
    </w:p>
    <w:p>
      <w:pPr>
        <w:pStyle w:val="Heading2"/>
      </w:pPr>
      <w:r>
        <w:t>Evidence and provenance fidelity</w:t>
      </w:r>
    </w:p>
    <w:p>
      <w:r>
        <w:t>Risk edits retain scanner evidence, evidence quality, confidence and untouched input origins. Explicit non null changes are marked user provided; legacy origins without records remain unknown. Empty or null only edits leave the assessment unchanged and create no audit entry. Existing persisted findings are not mass recalculated.</w:t>
      </w:r>
    </w:p>
    <w:p>
      <w:r>
        <w:t>Invalid inputs receive validation errors and read only roles receive access errors. A successful change and its authenticated audit record share one transaction. An audit failure rolls back the asset mutation.</w:t>
      </w:r>
    </w:p>
    <w:p>
      <w:pPr>
        <w:pStyle w:val="Heading2"/>
      </w:pPr>
      <w:r>
        <w:t>Complete export contract</w:t>
      </w:r>
    </w:p>
    <w:p>
      <w:r>
        <w:t>GET /api/exports/cbom?scan_id=... exports every stored finding for a selected completed scan. A single joined SQL statement captures scan metadata and finding rows consistently. Empty scans produce valid exports. Missing scans return 404, incomplete scans return 409, and exports above 10,000 findings or 32 MiB return 413 rather than silently truncating.</w:t>
      </w:r>
    </w:p>
    <w:p>
      <w:r>
        <w:t>The download has CycloneDX version 1.6, a fresh serial identifier, attachment headers, a SHA256 ETag, a finding count header, and no store caching. The paginated inventory API and existing CSV export remain available. Known sensitive evidence is redacted before serialization; redaction is not a guarantee against every possible secret format.</w:t>
      </w:r>
    </w:p>
    <w:p>
      <w:pPr>
        <w:pStyle w:val="Heading2"/>
      </w:pPr>
      <w:r>
        <w:t>Schema and semantic limits</w:t>
      </w:r>
    </w:p>
    <w:p>
      <w:r>
        <w:t>Official schemas are pinned locally at specification commit 55343ba19dee1785acf1ce9191540d5fd7b590db. Validation checks schema structure, duplicate identifiers and dangling dependency references without fetching schemas over the network. Components currently use the library type with ECDAT properties for cryptographic evidence and risk metadata. Native cryptoProperties mapping and independent native CBOM consumer validation are deferred.</w:t>
      </w:r>
    </w:p>
    <w:p>
      <w:r>
        <w:br w:type="page"/>
      </w:r>
    </w:p>
    <w:p>
      <w:pPr>
        <w:pStyle w:val="Heading1"/>
      </w:pPr>
      <w:r>
        <w:t>Integration and verification</w:t>
      </w:r>
    </w:p>
    <w:p>
      <w:r>
        <w:t>Verification used disposable local databases and real API and browser interactions. These results are evidence for the tested working copy; they are not a certification of production readiness.</w:t>
      </w:r>
    </w:p>
    <w:tbl>
      <w:tblPr>
        <w:tblStyle w:val="TableGrid"/>
        <w:tblW w:type="auto" w:w="0"/>
        <w:tblLook w:firstColumn="1" w:firstRow="1" w:lastColumn="0" w:lastRow="0" w:noHBand="0" w:noVBand="1" w:val="04A0"/>
      </w:tblPr>
      <w:tblGrid>
        <w:gridCol w:w="4896"/>
        <w:gridCol w:w="4896"/>
      </w:tblGrid>
      <w:tr>
        <w:trPr>
          <w:tblHeader/>
        </w:trPr>
        <w:tc>
          <w:tcPr>
            <w:tcW w:type="dxa" w:w="4896"/>
            <w:shd w:fill="E7EDF3"/>
            <w:tcBorders>
              <w:top w:val="single" w:sz="4" w:color="D9D9D9"/>
              <w:left w:val="single" w:sz="4" w:color="D9D9D9"/>
              <w:bottom w:val="single" w:sz="4" w:color="D9D9D9"/>
              <w:right w:val="single" w:sz="4" w:color="D9D9D9"/>
            </w:tcBorders>
          </w:tcPr>
          <w:p>
            <w:pPr>
              <w:spacing w:after="120" w:before="120"/>
            </w:pPr>
            <w:r>
              <w:rPr>
                <w:b/>
                <w:sz w:val="20"/>
              </w:rPr>
              <w:t>Check</w:t>
            </w:r>
          </w:p>
        </w:tc>
        <w:tc>
          <w:tcPr>
            <w:tcW w:type="dxa" w:w="4896"/>
            <w:shd w:fill="E7EDF3"/>
            <w:tcBorders>
              <w:top w:val="single" w:sz="4" w:color="D9D9D9"/>
              <w:left w:val="single" w:sz="4" w:color="D9D9D9"/>
              <w:bottom w:val="single" w:sz="4" w:color="D9D9D9"/>
              <w:right w:val="single" w:sz="4" w:color="D9D9D9"/>
            </w:tcBorders>
          </w:tcPr>
          <w:p>
            <w:pPr>
              <w:spacing w:after="120" w:before="120"/>
            </w:pPr>
            <w:r>
              <w:rPr>
                <w:b/>
                <w:sz w:val="20"/>
              </w:rPr>
              <w:t>Recorded outcome</w:t>
            </w:r>
          </w:p>
        </w:tc>
      </w:tr>
      <w:tr>
        <w:tc>
          <w:tcPr>
            <w:tcW w:type="dxa" w:w="4896"/>
            <w:shd w:fill="FFFFFF"/>
            <w:tcBorders>
              <w:top w:val="single" w:sz="4" w:color="D9D9D9"/>
              <w:left w:val="single" w:sz="4" w:color="D9D9D9"/>
              <w:bottom w:val="single" w:sz="4" w:color="D9D9D9"/>
              <w:right w:val="single" w:sz="4" w:color="D9D9D9"/>
            </w:tcBorders>
          </w:tcPr>
          <w:p>
            <w:pPr>
              <w:spacing w:after="120" w:before="120"/>
            </w:pPr>
            <w:r>
              <w:rPr>
                <w:b w:val="0"/>
                <w:sz w:val="20"/>
              </w:rPr>
              <w:t>Final scanner and backend gate</w:t>
            </w:r>
          </w:p>
        </w:tc>
        <w:tc>
          <w:tcPr>
            <w:tcW w:type="dxa" w:w="4896"/>
            <w:shd w:fill="FFFFFF"/>
            <w:tcBorders>
              <w:top w:val="single" w:sz="4" w:color="D9D9D9"/>
              <w:left w:val="single" w:sz="4" w:color="D9D9D9"/>
              <w:bottom w:val="single" w:sz="4" w:color="D9D9D9"/>
              <w:right w:val="single" w:sz="4" w:color="D9D9D9"/>
            </w:tcBorders>
          </w:tcPr>
          <w:p>
            <w:pPr>
              <w:spacing w:after="120" w:before="120"/>
            </w:pPr>
            <w:r>
              <w:rPr>
                <w:b w:val="0"/>
                <w:sz w:val="20"/>
              </w:rPr>
              <w:t>460 passed; 4 Windows skips; 95 subtests passed</w:t>
            </w:r>
          </w:p>
        </w:tc>
      </w:tr>
      <w:tr>
        <w:tc>
          <w:tcPr>
            <w:tcW w:type="dxa" w:w="4896"/>
            <w:shd w:fill="F7F7F7"/>
            <w:tcBorders>
              <w:top w:val="single" w:sz="4" w:color="D9D9D9"/>
              <w:left w:val="single" w:sz="4" w:color="D9D9D9"/>
              <w:bottom w:val="single" w:sz="4" w:color="D9D9D9"/>
              <w:right w:val="single" w:sz="4" w:color="D9D9D9"/>
            </w:tcBorders>
          </w:tcPr>
          <w:p>
            <w:pPr>
              <w:spacing w:after="120" w:before="120"/>
            </w:pPr>
            <w:r>
              <w:rPr>
                <w:b w:val="0"/>
                <w:sz w:val="20"/>
              </w:rPr>
              <w:t>Frontend unit suite</w:t>
            </w:r>
          </w:p>
        </w:tc>
        <w:tc>
          <w:tcPr>
            <w:tcW w:type="dxa" w:w="4896"/>
            <w:shd w:fill="F7F7F7"/>
            <w:tcBorders>
              <w:top w:val="single" w:sz="4" w:color="D9D9D9"/>
              <w:left w:val="single" w:sz="4" w:color="D9D9D9"/>
              <w:bottom w:val="single" w:sz="4" w:color="D9D9D9"/>
              <w:right w:val="single" w:sz="4" w:color="D9D9D9"/>
            </w:tcBorders>
          </w:tcPr>
          <w:p>
            <w:pPr>
              <w:spacing w:after="120" w:before="120"/>
            </w:pPr>
            <w:r>
              <w:rPr>
                <w:b w:val="0"/>
                <w:sz w:val="20"/>
              </w:rPr>
              <w:t>104 tests passed across 16 files</w:t>
            </w:r>
          </w:p>
        </w:tc>
      </w:tr>
      <w:tr>
        <w:tc>
          <w:tcPr>
            <w:tcW w:type="dxa" w:w="4896"/>
            <w:shd w:fill="FFFFFF"/>
            <w:tcBorders>
              <w:top w:val="single" w:sz="4" w:color="D9D9D9"/>
              <w:left w:val="single" w:sz="4" w:color="D9D9D9"/>
              <w:bottom w:val="single" w:sz="4" w:color="D9D9D9"/>
              <w:right w:val="single" w:sz="4" w:color="D9D9D9"/>
            </w:tcBorders>
          </w:tcPr>
          <w:p>
            <w:pPr>
              <w:spacing w:after="120" w:before="120"/>
            </w:pPr>
            <w:r>
              <w:rPr>
                <w:b w:val="0"/>
                <w:sz w:val="20"/>
              </w:rPr>
              <w:t>Frontend quality gates</w:t>
            </w:r>
          </w:p>
        </w:tc>
        <w:tc>
          <w:tcPr>
            <w:tcW w:type="dxa" w:w="4896"/>
            <w:shd w:fill="FFFFFF"/>
            <w:tcBorders>
              <w:top w:val="single" w:sz="4" w:color="D9D9D9"/>
              <w:left w:val="single" w:sz="4" w:color="D9D9D9"/>
              <w:bottom w:val="single" w:sz="4" w:color="D9D9D9"/>
              <w:right w:val="single" w:sz="4" w:color="D9D9D9"/>
            </w:tcBorders>
          </w:tcPr>
          <w:p>
            <w:pPr>
              <w:spacing w:after="120" w:before="120"/>
            </w:pPr>
            <w:r>
              <w:rPr>
                <w:b w:val="0"/>
                <w:sz w:val="20"/>
              </w:rPr>
              <w:t>Lint, formatting and production build passed</w:t>
            </w:r>
          </w:p>
        </w:tc>
      </w:tr>
      <w:tr>
        <w:tc>
          <w:tcPr>
            <w:tcW w:type="dxa" w:w="4896"/>
            <w:shd w:fill="F7F7F7"/>
            <w:tcBorders>
              <w:top w:val="single" w:sz="4" w:color="D9D9D9"/>
              <w:left w:val="single" w:sz="4" w:color="D9D9D9"/>
              <w:bottom w:val="single" w:sz="4" w:color="D9D9D9"/>
              <w:right w:val="single" w:sz="4" w:color="D9D9D9"/>
            </w:tcBorders>
          </w:tcPr>
          <w:p>
            <w:pPr>
              <w:spacing w:after="120" w:before="120"/>
            </w:pPr>
            <w:r>
              <w:rPr>
                <w:b w:val="0"/>
                <w:sz w:val="20"/>
              </w:rPr>
              <w:t>Browser regression coverage</w:t>
            </w:r>
          </w:p>
        </w:tc>
        <w:tc>
          <w:tcPr>
            <w:tcW w:type="dxa" w:w="4896"/>
            <w:shd w:fill="F7F7F7"/>
            <w:tcBorders>
              <w:top w:val="single" w:sz="4" w:color="D9D9D9"/>
              <w:left w:val="single" w:sz="4" w:color="D9D9D9"/>
              <w:bottom w:val="single" w:sz="4" w:color="D9D9D9"/>
              <w:right w:val="single" w:sz="4" w:color="D9D9D9"/>
            </w:tcBorders>
          </w:tcPr>
          <w:p>
            <w:pPr>
              <w:spacing w:after="120" w:before="120"/>
            </w:pPr>
            <w:r>
              <w:rPr>
                <w:b w:val="0"/>
                <w:sz w:val="20"/>
              </w:rPr>
              <w:t>58 tests passed before final refactor; 8 affected tests passed afterward</w:t>
            </w:r>
          </w:p>
        </w:tc>
      </w:tr>
      <w:tr>
        <w:tc>
          <w:tcPr>
            <w:tcW w:type="dxa" w:w="4896"/>
            <w:shd w:fill="FFFFFF"/>
            <w:tcBorders>
              <w:top w:val="single" w:sz="4" w:color="D9D9D9"/>
              <w:left w:val="single" w:sz="4" w:color="D9D9D9"/>
              <w:bottom w:val="single" w:sz="4" w:color="D9D9D9"/>
              <w:right w:val="single" w:sz="4" w:color="D9D9D9"/>
            </w:tcBorders>
          </w:tcPr>
          <w:p>
            <w:pPr>
              <w:spacing w:after="120" w:before="120"/>
            </w:pPr>
            <w:r>
              <w:rPr>
                <w:b w:val="0"/>
                <w:sz w:val="20"/>
              </w:rPr>
              <w:t>Real fixture scan</w:t>
            </w:r>
          </w:p>
        </w:tc>
        <w:tc>
          <w:tcPr>
            <w:tcW w:type="dxa" w:w="4896"/>
            <w:shd w:fill="FFFFFF"/>
            <w:tcBorders>
              <w:top w:val="single" w:sz="4" w:color="D9D9D9"/>
              <w:left w:val="single" w:sz="4" w:color="D9D9D9"/>
              <w:bottom w:val="single" w:sz="4" w:color="D9D9D9"/>
              <w:right w:val="single" w:sz="4" w:color="D9D9D9"/>
            </w:tcBorders>
          </w:tcPr>
          <w:p>
            <w:pPr>
              <w:spacing w:after="120" w:before="120"/>
            </w:pPr>
            <w:r>
              <w:rPr>
                <w:b w:val="0"/>
                <w:sz w:val="20"/>
              </w:rPr>
              <w:t>9 of 9 files processed; 68 findings</w:t>
            </w:r>
          </w:p>
        </w:tc>
      </w:tr>
      <w:tr>
        <w:tc>
          <w:tcPr>
            <w:tcW w:type="dxa" w:w="4896"/>
            <w:shd w:fill="F7F7F7"/>
            <w:tcBorders>
              <w:top w:val="single" w:sz="4" w:color="D9D9D9"/>
              <w:left w:val="single" w:sz="4" w:color="D9D9D9"/>
              <w:bottom w:val="single" w:sz="4" w:color="D9D9D9"/>
              <w:right w:val="single" w:sz="4" w:color="D9D9D9"/>
            </w:tcBorders>
          </w:tcPr>
          <w:p>
            <w:pPr>
              <w:spacing w:after="120" w:before="120"/>
            </w:pPr>
            <w:r>
              <w:rPr>
                <w:b w:val="0"/>
                <w:sz w:val="20"/>
              </w:rPr>
              <w:t>Complete download</w:t>
            </w:r>
          </w:p>
        </w:tc>
        <w:tc>
          <w:tcPr>
            <w:tcW w:type="dxa" w:w="4896"/>
            <w:shd w:fill="F7F7F7"/>
            <w:tcBorders>
              <w:top w:val="single" w:sz="4" w:color="D9D9D9"/>
              <w:left w:val="single" w:sz="4" w:color="D9D9D9"/>
              <w:bottom w:val="single" w:sz="4" w:color="D9D9D9"/>
              <w:right w:val="single" w:sz="4" w:color="D9D9D9"/>
            </w:tcBorders>
          </w:tcPr>
          <w:p>
            <w:pPr>
              <w:spacing w:after="120" w:before="120"/>
            </w:pPr>
            <w:r>
              <w:rPr>
                <w:b w:val="0"/>
                <w:sz w:val="20"/>
              </w:rPr>
              <w:t>All 68 findings exported and validated offline</w:t>
            </w:r>
          </w:p>
        </w:tc>
      </w:tr>
      <w:tr>
        <w:tc>
          <w:tcPr>
            <w:tcW w:type="dxa" w:w="4896"/>
            <w:shd w:fill="FFFFFF"/>
            <w:tcBorders>
              <w:top w:val="single" w:sz="4" w:color="D9D9D9"/>
              <w:left w:val="single" w:sz="4" w:color="D9D9D9"/>
              <w:bottom w:val="single" w:sz="4" w:color="D9D9D9"/>
              <w:right w:val="single" w:sz="4" w:color="D9D9D9"/>
            </w:tcBorders>
          </w:tcPr>
          <w:p>
            <w:pPr>
              <w:spacing w:after="120" w:before="120"/>
            </w:pPr>
            <w:r>
              <w:rPr>
                <w:b w:val="0"/>
                <w:sz w:val="20"/>
              </w:rPr>
              <w:t>Persistence</w:t>
            </w:r>
          </w:p>
        </w:tc>
        <w:tc>
          <w:tcPr>
            <w:tcW w:type="dxa" w:w="4896"/>
            <w:shd w:fill="FFFFFF"/>
            <w:tcBorders>
              <w:top w:val="single" w:sz="4" w:color="D9D9D9"/>
              <w:left w:val="single" w:sz="4" w:color="D9D9D9"/>
              <w:bottom w:val="single" w:sz="4" w:color="D9D9D9"/>
              <w:right w:val="single" w:sz="4" w:color="D9D9D9"/>
            </w:tcBorders>
          </w:tcPr>
          <w:p>
            <w:pPr>
              <w:spacing w:after="120" w:before="120"/>
            </w:pPr>
            <w:r>
              <w:rPr>
                <w:b w:val="0"/>
                <w:sz w:val="20"/>
              </w:rPr>
              <w:t>Edited finding remained consistent after API restart</w:t>
            </w:r>
          </w:p>
        </w:tc>
      </w:tr>
      <w:tr>
        <w:tc>
          <w:tcPr>
            <w:tcW w:type="dxa" w:w="4896"/>
            <w:shd w:fill="F7F7F7"/>
            <w:tcBorders>
              <w:top w:val="single" w:sz="4" w:color="D9D9D9"/>
              <w:left w:val="single" w:sz="4" w:color="D9D9D9"/>
              <w:bottom w:val="single" w:sz="4" w:color="D9D9D9"/>
              <w:right w:val="single" w:sz="4" w:color="D9D9D9"/>
            </w:tcBorders>
          </w:tcPr>
          <w:p>
            <w:pPr>
              <w:spacing w:after="120" w:before="120"/>
            </w:pPr>
            <w:r>
              <w:rPr>
                <w:b w:val="0"/>
                <w:sz w:val="20"/>
              </w:rPr>
              <w:t>Dependency consistency</w:t>
            </w:r>
          </w:p>
        </w:tc>
        <w:tc>
          <w:tcPr>
            <w:tcW w:type="dxa" w:w="4896"/>
            <w:shd w:fill="F7F7F7"/>
            <w:tcBorders>
              <w:top w:val="single" w:sz="4" w:color="D9D9D9"/>
              <w:left w:val="single" w:sz="4" w:color="D9D9D9"/>
              <w:bottom w:val="single" w:sz="4" w:color="D9D9D9"/>
              <w:right w:val="single" w:sz="4" w:color="D9D9D9"/>
            </w:tcBorders>
          </w:tcPr>
          <w:p>
            <w:pPr>
              <w:spacing w:after="120" w:before="120"/>
            </w:pPr>
            <w:r>
              <w:rPr>
                <w:b w:val="0"/>
                <w:sz w:val="20"/>
              </w:rPr>
              <w:t>Python dependency check passed; vulnerability review incomplete</w:t>
            </w:r>
          </w:p>
        </w:tc>
      </w:tr>
    </w:tbl>
    <w:p>
      <w:pPr>
        <w:pStyle w:val="Heading2"/>
      </w:pPr>
      <w:r>
        <w:t>Real browser verification</w:t>
      </w:r>
    </w:p>
    <w:p>
      <w:r>
        <w:t>The live browser rehearsal signed in, started a repository scan, edited the exposure of an observed RSA finding, reloaded its details, and downloaded the full JSON export. It checked inventory, scan detail, reports and evidence graph routes, a 375 pixel viewport, and browser/API failures. The export retained the edited risk values and provenance. The same disposable database was reopened after an API restart to confirm persistence.</w:t>
      </w:r>
    </w:p>
    <w:p>
      <w:pPr>
        <w:pStyle w:val="Heading2"/>
      </w:pPr>
      <w:r>
        <w:t>Concurrent access and test isolation</w:t>
      </w:r>
    </w:p>
    <w:p>
      <w:r>
        <w:t>A SQLite WAL test confirmed a coherent export while another connection updated risk values. A separate test fixture race exposed shared connection rollback interference. Test fixtures were changed to disposable file databases with independent connections and foreign keys enabled on every connection; production constraints and reconciliation behavior were preserved.</w:t>
      </w:r>
    </w:p>
    <w:p>
      <w:pPr>
        <w:pStyle w:val="Heading2"/>
      </w:pPr>
      <w:r>
        <w:t>Known verification limits</w:t>
      </w:r>
    </w:p>
    <w:p>
      <w:r>
        <w:t>Four backend skips cover Windows resource, permission and symlink limitations. Existing framework warnings remain. Docker and PostgreSQL execution were not performed. Hosted delivery, load capacity and independent interoperability with native cryptographic CBOM consumers have not been established. The frontend dependency audit recorded two high severity advisories; their review and the Python vulnerability audit were paused and remain unfinished.</w:t>
      </w:r>
    </w:p>
    <w:p>
      <w:r>
        <w:br w:type="page"/>
      </w:r>
    </w:p>
    <w:p>
      <w:pPr>
        <w:pStyle w:val="Heading1"/>
      </w:pPr>
      <w:r>
        <w:t>Team development and next steps</w:t>
      </w:r>
    </w:p>
    <w:p>
      <w:pPr>
        <w:pStyle w:val="Heading2"/>
      </w:pPr>
      <w:r>
        <w:t>Repository handoff</w:t>
      </w:r>
    </w:p>
    <w:p>
      <w:r>
        <w:t>Submission repository: https://github.com/ImpactX26/Team_Visions-.git</w:t>
        <w:br/>
        <w:t>Shared branch: team-development</w:t>
        <w:br/>
        <w:t>Fresh snapshot commit: 70a13125c5771117f00fc80a2722f93f75a73a09</w:t>
      </w:r>
    </w:p>
    <w:p>
      <w:r>
        <w:t>The shared snapshot contains the complete tracked project and is authored as tishanbrijesh-rgb. It was created from the existing project files with no parent commit; earlier work still underlies the implementation. The original SIH repository remains separate and preserved. Team members should clone the current branch into a fresh directory if they obtained the earlier history, preserving any edits before moving them.</w:t>
      </w:r>
    </w:p>
    <w:p>
      <w:pPr>
        <w:pStyle w:val="Heading2"/>
      </w:pPr>
      <w:r>
        <w:t>Frontend handoff boundaries</w:t>
      </w:r>
    </w:p>
    <w:p>
      <w:r>
        <w:t>The frontend team owns dashboard improvements. The completed integration only connects the CBOM Full JSON download to the complete export endpoint. Frontend contributors should retain authenticated downloads, scan selection, complete export behavior, error handling and existing API contracts. Each contributor should use a separate branch and request review into team-development.</w:t>
      </w:r>
    </w:p>
    <w:p>
      <w:pPr>
        <w:pStyle w:val="Heading2"/>
      </w:pPr>
      <w:r>
        <w:t>Recommended implementation order</w:t>
      </w:r>
    </w:p>
    <w:p>
      <w:r>
        <w:t>First, complete frontend improvements against the current API and verify login, scans, inventory, risk edits and downloads. Second, review the recorded dependency advisories and finish the Python audit. Third, execute container and PostgreSQL rehearsals and verify the target hosted environment. Fourth, rehearse the judge demonstration with clear scope, evidence quality and export limitations. Later work can add native cryptographic CBOM semantics, richer asset identity, scan comparison and calibration.</w:t>
      </w:r>
    </w:p>
    <w:p>
      <w:pPr>
        <w:pStyle w:val="Heading1"/>
      </w:pPr>
      <w:r>
        <w:t>Evidence references</w:t>
      </w:r>
    </w:p>
    <w:p>
      <w:r>
        <w:t>Repository records supporting this report are listed below. Stage reports describe their stage specific scope; the subsequent narrow download integration adds frontend verification described in this report.</w:t>
      </w:r>
    </w:p>
    <w:p>
      <w:pPr>
        <w:pStyle w:val="ListBullet"/>
      </w:pPr>
      <w:r>
        <w:t>README.md — architecture and startup configuration</w:t>
      </w:r>
    </w:p>
    <w:p>
      <w:pPr>
        <w:pStyle w:val="ListBullet"/>
      </w:pPr>
      <w:r>
        <w:t>docs/stage-0-baseline-2026-10-08.md — preservation and initial local rehearsal</w:t>
      </w:r>
    </w:p>
    <w:p>
      <w:pPr>
        <w:pStyle w:val="ListBullet"/>
      </w:pPr>
      <w:r>
        <w:t>docs/stage-1-risk-fidelity-2026-10-08.md — risk policy and provenance verification</w:t>
      </w:r>
    </w:p>
    <w:p>
      <w:pPr>
        <w:pStyle w:val="ListBullet"/>
      </w:pPr>
      <w:r>
        <w:t>docs/stage-2-cbom-verification-2026-10-08.md — export and schema evidence</w:t>
      </w:r>
    </w:p>
    <w:p>
      <w:pPr>
        <w:pStyle w:val="ListBullet"/>
      </w:pPr>
      <w:r>
        <w:t>docs/cbom-export-contract.md — endpoint behavior and component mapping</w:t>
      </w:r>
    </w:p>
    <w:p>
      <w:pPr>
        <w:pStyle w:val="ListBullet"/>
      </w:pPr>
      <w:r>
        <w:t>schemas/cyclonedx/1.6/provenance.json — schema pinning and source metadata</w:t>
      </w:r>
    </w:p>
    <w:p>
      <w:pPr>
        <w:pStyle w:val="ListBullet"/>
      </w:pPr>
      <w:r>
        <w:t>scripts/rehearse_local_baseline.py and scripts/verify_live_browser.mjs — repeatable local integration rehearsal</w:t>
      </w:r>
    </w:p>
    <w:sectPr w:rsidR="00FC693F" w:rsidRPr="0006063C" w:rsidSect="00034616">
      <w:footerReference w:type="default" r:id="rId9"/>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8"/>
      </w:rPr>
      <w:t>ECDAT technical report  |  Team Visions  |  8 October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69"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000000"/>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