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E3A8A"/>
          <w:sz w:val="56"/>
          <w:szCs w:val="56"/>
        </w:rPr>
        <w:t xml:space="preserve">SLA Breach Tracker</w:t>
      </w:r>
    </w:p>
    <w:p>
      <w:pPr>
        <w:spacing w:after="80"/>
        <w:jc w:val="center"/>
      </w:pPr>
      <w:r>
        <w:rPr>
          <w:color w:val="1E40AF"/>
          <w:sz w:val="36"/>
          <w:szCs w:val="36"/>
        </w:rPr>
        <w:t xml:space="preserve">Admin User Guide</w:t>
      </w:r>
    </w:p>
    <w:p>
      <w:pPr>
        <w:spacing w:after="600"/>
        <w:jc w:val="center"/>
      </w:pPr>
      <w:r>
        <w:rPr>
          <w:color w:val="64748B"/>
          <w:sz w:val="20"/>
          <w:szCs w:val="20"/>
        </w:rPr>
        <w:t xml:space="preserve">Impact FI Advisors  ·  Confidential</w:t>
      </w:r>
    </w:p>
    <w:p>
      <w:r>
        <w:br w:type="page"/>
      </w:r>
    </w:p>
    <w:p>
      <w:pPr>
        <w:pStyle w:val="Heading1"/>
        <w:pBdr>
          <w:bottom w:val="single" w:color="1E40AF" w:sz="8"/>
        </w:pBdr>
        <w:spacing w:after="160" w:before="400"/>
      </w:pPr>
      <w:r>
        <w:rPr>
          <w:b/>
          <w:bCs/>
          <w:color w:val="1E3A8A"/>
          <w:sz w:val="32"/>
          <w:szCs w:val="32"/>
        </w:rPr>
        <w:t xml:space="preserve">1. Overview</w:t>
      </w:r>
    </w:p>
    <w:p>
      <w:pPr>
        <w:spacing w:after="120"/>
      </w:pPr>
      <w:r>
        <w:rPr>
          <w:color w:val="374151"/>
          <w:sz w:val="20"/>
          <w:szCs w:val="20"/>
        </w:rPr>
        <w:t xml:space="preserve">The SLA Breach Tracker is Impact FI Advisors' internal platform for monitoring fintech vendor Service Level Agreements on behalf of bank clients. It calculates downtime, detects SLA breaches, applies contractual penalties, and exposes a read-only portal for each bank to review their own data.</w:t>
      </w:r>
    </w:p>
    <w:p>
      <w:pPr>
        <w:spacing w:after="160"/>
      </w:pPr>
    </w:p>
    <w:p>
      <w:pPr>
        <w:pStyle w:val="Heading2"/>
        <w:spacing w:after="120" w:before="320"/>
      </w:pPr>
      <w:r>
        <w:rPr>
          <w:b/>
          <w:bCs/>
          <w:color w:val="1E40AF"/>
          <w:sz w:val="26"/>
          <w:szCs w:val="26"/>
        </w:rPr>
        <w:t xml:space="preserve">Who uses this system?</w:t>
      </w:r>
    </w:p>
    <w:p>
      <w:pPr>
        <w:pStyle w:val="ListParagraph"/>
        <w:numPr>
          <w:ilvl w:val="0"/>
          <w:numId w:val="1"/>
        </w:numPr>
        <w:spacing w:after="80"/>
      </w:pPr>
      <w:r>
        <w:rPr>
          <w:b/>
          <w:bCs/>
          <w:color w:val="111827"/>
          <w:sz w:val="20"/>
          <w:szCs w:val="20"/>
        </w:rPr>
        <w:t xml:space="preserve">Admins (Impact FI staff): </w:t>
      </w:r>
      <w:r>
        <w:rPr>
          <w:color w:val="374151"/>
          <w:sz w:val="20"/>
          <w:szCs w:val="20"/>
        </w:rPr>
        <w:t xml:space="preserve">full access — manage banks, SLA rules, log outages, generate reports.</w:t>
      </w:r>
    </w:p>
    <w:p>
      <w:pPr>
        <w:pStyle w:val="ListParagraph"/>
        <w:numPr>
          <w:ilvl w:val="0"/>
          <w:numId w:val="1"/>
        </w:numPr>
        <w:spacing w:after="80"/>
      </w:pPr>
      <w:r>
        <w:rPr>
          <w:b/>
          <w:bCs/>
          <w:color w:val="111827"/>
          <w:sz w:val="20"/>
          <w:szCs w:val="20"/>
        </w:rPr>
        <w:t xml:space="preserve">Banks (clients): </w:t>
      </w:r>
      <w:r>
        <w:rPr>
          <w:color w:val="374151"/>
          <w:sz w:val="20"/>
          <w:szCs w:val="20"/>
        </w:rPr>
        <w:t xml:space="preserve">read-only portal access via a unique link — no login required.</w:t>
      </w:r>
    </w:p>
    <w:p>
      <w:pPr>
        <w:spacing w:after="160"/>
      </w:pPr>
    </w:p>
    <w:p>
      <w:pPr>
        <w:pStyle w:val="Heading2"/>
        <w:spacing w:after="120" w:before="320"/>
      </w:pPr>
      <w:r>
        <w:rPr>
          <w:b/>
          <w:bCs/>
          <w:color w:val="1E40AF"/>
          <w:sz w:val="26"/>
          <w:szCs w:val="26"/>
        </w:rPr>
        <w:t xml:space="preserve">Domain model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E3A8A" w:val="clear"/>
            <w:tcMar>
              <w:top w:type="dxa" w:w="60"/>
              <w:left w:type="dxa" w:w="120"/>
              <w:bottom w:type="dxa" w:w="60"/>
              <w:right w:type="dxa" w:w="120"/>
            </w:tcMar>
          </w:tcPr>
          <w:p>
            <w:r>
              <w:rPr>
                <w:b/>
                <w:bCs/>
                <w:color w:val="FFFFFF"/>
                <w:sz w:val="18"/>
                <w:szCs w:val="18"/>
              </w:rPr>
              <w:t xml:space="preserve">Concept</w:t>
            </w:r>
          </w:p>
        </w:tc>
        <w:tc>
          <w:tcPr>
            <w:tcW w:type="pct" w:w="50%"/>
            <w:shd w:fill="1E3A8A" w:val="clear"/>
            <w:tcMar>
              <w:top w:type="dxa" w:w="60"/>
              <w:left w:type="dxa" w:w="120"/>
              <w:bottom w:type="dxa" w:w="60"/>
              <w:right w:type="dxa" w:w="120"/>
            </w:tcMar>
          </w:tcPr>
          <w:p>
            <w:r>
              <w:rPr>
                <w:b/>
                <w:bCs/>
                <w:color w:val="FFFFFF"/>
                <w:sz w:val="18"/>
                <w:szCs w:val="18"/>
              </w:rPr>
              <w:t xml:space="preserve">Meaning</w:t>
            </w:r>
          </w:p>
        </w:tc>
        <w:tc>
          <w:tcPr>
            <w:tcW w:type="pct" w:w="30%"/>
            <w:shd w:fill="1E3A8A" w:val="clear"/>
            <w:tcMar>
              <w:top w:type="dxa" w:w="60"/>
              <w:left w:type="dxa" w:w="120"/>
              <w:bottom w:type="dxa" w:w="60"/>
              <w:right w:type="dxa" w:w="120"/>
            </w:tcMar>
          </w:tcPr>
          <w:p>
            <w:r>
              <w:rPr>
                <w:b/>
                <w:bCs/>
                <w:color w:val="FFFFFF"/>
                <w:sz w:val="18"/>
                <w:szCs w:val="18"/>
              </w:rPr>
              <w:t xml:space="preserve">Example</w:t>
            </w:r>
          </w:p>
        </w:tc>
      </w:tr>
      <w:tr>
        <w:trPr>
          <w:tblHeader w:val="false"/>
        </w:trPr>
        <w:tc>
          <w:tcPr>
            <w:tcW w:type="pct" w:w="20%"/>
            <w:tcMar>
              <w:top w:type="dxa" w:w="60"/>
              <w:left w:type="dxa" w:w="120"/>
              <w:bottom w:type="dxa" w:w="60"/>
              <w:right w:type="dxa" w:w="120"/>
            </w:tcMar>
          </w:tcPr>
          <w:p>
            <w:r>
              <w:rPr>
                <w:b w:val="false"/>
                <w:bCs w:val="false"/>
                <w:color w:val="374151"/>
                <w:sz w:val="18"/>
                <w:szCs w:val="18"/>
              </w:rPr>
              <w:t xml:space="preserve">Bank</w:t>
            </w:r>
          </w:p>
        </w:tc>
        <w:tc>
          <w:tcPr>
            <w:tcW w:type="pct" w:w="50%"/>
            <w:tcMar>
              <w:top w:type="dxa" w:w="60"/>
              <w:left w:type="dxa" w:w="120"/>
              <w:bottom w:type="dxa" w:w="60"/>
              <w:right w:type="dxa" w:w="120"/>
            </w:tcMar>
          </w:tcPr>
          <w:p>
            <w:r>
              <w:rPr>
                <w:b w:val="false"/>
                <w:bCs w:val="false"/>
                <w:color w:val="374151"/>
                <w:sz w:val="18"/>
                <w:szCs w:val="18"/>
              </w:rPr>
              <w:t xml:space="preserve">Your bank client — the entity receiving SLA monitoring</w:t>
            </w:r>
          </w:p>
        </w:tc>
        <w:tc>
          <w:tcPr>
            <w:tcW w:type="pct" w:w="30%"/>
            <w:tcMar>
              <w:top w:type="dxa" w:w="60"/>
              <w:left w:type="dxa" w:w="120"/>
              <w:bottom w:type="dxa" w:w="60"/>
              <w:right w:type="dxa" w:w="120"/>
            </w:tcMar>
          </w:tcPr>
          <w:p>
            <w:r>
              <w:rPr>
                <w:b w:val="false"/>
                <w:bCs w:val="false"/>
                <w:color w:val="374151"/>
                <w:sz w:val="18"/>
                <w:szCs w:val="18"/>
              </w:rPr>
              <w:t xml:space="preserve">First National Bank</w:t>
            </w:r>
          </w:p>
        </w:tc>
      </w:tr>
      <w:tr>
        <w:trPr>
          <w:tblHeader w:val="false"/>
        </w:trPr>
        <w:tc>
          <w:tcPr>
            <w:tcW w:type="pct" w:w="20%"/>
            <w:tcMar>
              <w:top w:type="dxa" w:w="60"/>
              <w:left w:type="dxa" w:w="120"/>
              <w:bottom w:type="dxa" w:w="60"/>
              <w:right w:type="dxa" w:w="120"/>
            </w:tcMar>
          </w:tcPr>
          <w:p>
            <w:r>
              <w:rPr>
                <w:b w:val="false"/>
                <w:bCs w:val="false"/>
                <w:color w:val="374151"/>
                <w:sz w:val="18"/>
                <w:szCs w:val="18"/>
              </w:rPr>
              <w:t xml:space="preserve">Vendor</w:t>
            </w:r>
          </w:p>
        </w:tc>
        <w:tc>
          <w:tcPr>
            <w:tcW w:type="pct" w:w="50%"/>
            <w:tcMar>
              <w:top w:type="dxa" w:w="60"/>
              <w:left w:type="dxa" w:w="120"/>
              <w:bottom w:type="dxa" w:w="60"/>
              <w:right w:type="dxa" w:w="120"/>
            </w:tcMar>
          </w:tcPr>
          <w:p>
            <w:r>
              <w:rPr>
                <w:b w:val="false"/>
                <w:bCs w:val="false"/>
                <w:color w:val="374151"/>
                <w:sz w:val="18"/>
                <w:szCs w:val="18"/>
              </w:rPr>
              <w:t xml:space="preserve">Fintech company providing technology to the bank</w:t>
            </w:r>
          </w:p>
        </w:tc>
        <w:tc>
          <w:tcPr>
            <w:tcW w:type="pct" w:w="30%"/>
            <w:tcMar>
              <w:top w:type="dxa" w:w="60"/>
              <w:left w:type="dxa" w:w="120"/>
              <w:bottom w:type="dxa" w:w="60"/>
              <w:right w:type="dxa" w:w="120"/>
            </w:tcMar>
          </w:tcPr>
          <w:p>
            <w:r>
              <w:rPr>
                <w:b w:val="false"/>
                <w:bCs w:val="false"/>
                <w:color w:val="374151"/>
                <w:sz w:val="18"/>
                <w:szCs w:val="18"/>
              </w:rPr>
              <w:t xml:space="preserve">Fiserv, Jack Henry</w:t>
            </w:r>
          </w:p>
        </w:tc>
      </w:tr>
      <w:tr>
        <w:trPr>
          <w:tblHeader w:val="false"/>
        </w:trPr>
        <w:tc>
          <w:tcPr>
            <w:tcW w:type="pct" w:w="20%"/>
            <w:tcMar>
              <w:top w:type="dxa" w:w="60"/>
              <w:left w:type="dxa" w:w="120"/>
              <w:bottom w:type="dxa" w:w="60"/>
              <w:right w:type="dxa" w:w="120"/>
            </w:tcMar>
          </w:tcPr>
          <w:p>
            <w:r>
              <w:rPr>
                <w:b w:val="false"/>
                <w:bCs w:val="false"/>
                <w:color w:val="374151"/>
                <w:sz w:val="18"/>
                <w:szCs w:val="18"/>
              </w:rPr>
              <w:t xml:space="preserve">Product</w:t>
            </w:r>
          </w:p>
        </w:tc>
        <w:tc>
          <w:tcPr>
            <w:tcW w:type="pct" w:w="50%"/>
            <w:tcMar>
              <w:top w:type="dxa" w:w="60"/>
              <w:left w:type="dxa" w:w="120"/>
              <w:bottom w:type="dxa" w:w="60"/>
              <w:right w:type="dxa" w:w="120"/>
            </w:tcMar>
          </w:tcPr>
          <w:p>
            <w:r>
              <w:rPr>
                <w:b w:val="false"/>
                <w:bCs w:val="false"/>
                <w:color w:val="374151"/>
                <w:sz w:val="18"/>
                <w:szCs w:val="18"/>
              </w:rPr>
              <w:t xml:space="preserve">A specific service offered by a vendor</w:t>
            </w:r>
          </w:p>
        </w:tc>
        <w:tc>
          <w:tcPr>
            <w:tcW w:type="pct" w:w="30%"/>
            <w:tcMar>
              <w:top w:type="dxa" w:w="60"/>
              <w:left w:type="dxa" w:w="120"/>
              <w:bottom w:type="dxa" w:w="60"/>
              <w:right w:type="dxa" w:w="120"/>
            </w:tcMar>
          </w:tcPr>
          <w:p>
            <w:r>
              <w:rPr>
                <w:b w:val="false"/>
                <w:bCs w:val="false"/>
                <w:color w:val="374151"/>
                <w:sz w:val="18"/>
                <w:szCs w:val="18"/>
              </w:rPr>
              <w:t xml:space="preserve">Core Banking, Mobile App</w:t>
            </w:r>
          </w:p>
        </w:tc>
      </w:tr>
      <w:tr>
        <w:trPr>
          <w:tblHeader w:val="false"/>
        </w:trPr>
        <w:tc>
          <w:tcPr>
            <w:tcW w:type="pct" w:w="20%"/>
            <w:tcMar>
              <w:top w:type="dxa" w:w="60"/>
              <w:left w:type="dxa" w:w="120"/>
              <w:bottom w:type="dxa" w:w="60"/>
              <w:right w:type="dxa" w:w="120"/>
            </w:tcMar>
          </w:tcPr>
          <w:p>
            <w:r>
              <w:rPr>
                <w:b w:val="false"/>
                <w:bCs w:val="false"/>
                <w:color w:val="374151"/>
                <w:sz w:val="18"/>
                <w:szCs w:val="18"/>
              </w:rPr>
              <w:t xml:space="preserve">SLA Rule</w:t>
            </w:r>
          </w:p>
        </w:tc>
        <w:tc>
          <w:tcPr>
            <w:tcW w:type="pct" w:w="50%"/>
            <w:tcMar>
              <w:top w:type="dxa" w:w="60"/>
              <w:left w:type="dxa" w:w="120"/>
              <w:bottom w:type="dxa" w:w="60"/>
              <w:right w:type="dxa" w:w="120"/>
            </w:tcMar>
          </w:tcPr>
          <w:p>
            <w:r>
              <w:rPr>
                <w:b w:val="false"/>
                <w:bCs w:val="false"/>
                <w:color w:val="374151"/>
                <w:sz w:val="18"/>
                <w:szCs w:val="18"/>
              </w:rPr>
              <w:t xml:space="preserve">Uptime % and penalty per hour for a bank/vendor/product</w:t>
            </w:r>
          </w:p>
        </w:tc>
        <w:tc>
          <w:tcPr>
            <w:tcW w:type="pct" w:w="30%"/>
            <w:tcMar>
              <w:top w:type="dxa" w:w="60"/>
              <w:left w:type="dxa" w:w="120"/>
              <w:bottom w:type="dxa" w:w="60"/>
              <w:right w:type="dxa" w:w="120"/>
            </w:tcMar>
          </w:tcPr>
          <w:p>
            <w:r>
              <w:rPr>
                <w:b w:val="false"/>
                <w:bCs w:val="false"/>
                <w:color w:val="374151"/>
                <w:sz w:val="18"/>
                <w:szCs w:val="18"/>
              </w:rPr>
              <w:t xml:space="preserve">99.9 % uptime, $500/hr</w:t>
            </w:r>
          </w:p>
        </w:tc>
      </w:tr>
      <w:tr>
        <w:trPr>
          <w:tblHeader w:val="false"/>
        </w:trPr>
        <w:tc>
          <w:tcPr>
            <w:tcW w:type="pct" w:w="20%"/>
            <w:tcMar>
              <w:top w:type="dxa" w:w="60"/>
              <w:left w:type="dxa" w:w="120"/>
              <w:bottom w:type="dxa" w:w="60"/>
              <w:right w:type="dxa" w:w="120"/>
            </w:tcMar>
          </w:tcPr>
          <w:p>
            <w:r>
              <w:rPr>
                <w:b w:val="false"/>
                <w:bCs w:val="false"/>
                <w:color w:val="374151"/>
                <w:sz w:val="18"/>
                <w:szCs w:val="18"/>
              </w:rPr>
              <w:t xml:space="preserve">Outage</w:t>
            </w:r>
          </w:p>
        </w:tc>
        <w:tc>
          <w:tcPr>
            <w:tcW w:type="pct" w:w="50%"/>
            <w:tcMar>
              <w:top w:type="dxa" w:w="60"/>
              <w:left w:type="dxa" w:w="120"/>
              <w:bottom w:type="dxa" w:w="60"/>
              <w:right w:type="dxa" w:w="120"/>
            </w:tcMar>
          </w:tcPr>
          <w:p>
            <w:r>
              <w:rPr>
                <w:b w:val="false"/>
                <w:bCs w:val="false"/>
                <w:color w:val="374151"/>
                <w:sz w:val="18"/>
                <w:szCs w:val="18"/>
              </w:rPr>
              <w:t xml:space="preserve">A recorded downtime event for a product</w:t>
            </w:r>
          </w:p>
        </w:tc>
        <w:tc>
          <w:tcPr>
            <w:tcW w:type="pct" w:w="30%"/>
            <w:tcMar>
              <w:top w:type="dxa" w:w="60"/>
              <w:left w:type="dxa" w:w="120"/>
              <w:bottom w:type="dxa" w:w="60"/>
              <w:right w:type="dxa" w:w="120"/>
            </w:tcMar>
          </w:tcPr>
          <w:p>
            <w:r>
              <w:rPr>
                <w:b w:val="false"/>
                <w:bCs w:val="false"/>
                <w:color w:val="374151"/>
                <w:sz w:val="18"/>
                <w:szCs w:val="18"/>
              </w:rPr>
              <w:t xml:space="preserve">Core Banking down 3 hrs</w:t>
            </w:r>
          </w:p>
        </w:tc>
      </w:tr>
    </w:tbl>
    <w:p>
      <w:r>
        <w:br w:type="page"/>
      </w:r>
    </w:p>
    <w:p>
      <w:pPr>
        <w:pStyle w:val="Heading1"/>
        <w:pBdr>
          <w:bottom w:val="single" w:color="1E40AF" w:sz="8"/>
        </w:pBdr>
        <w:spacing w:after="160" w:before="400"/>
      </w:pPr>
      <w:r>
        <w:rPr>
          <w:b/>
          <w:bCs/>
          <w:color w:val="1E3A8A"/>
          <w:sz w:val="32"/>
          <w:szCs w:val="32"/>
        </w:rPr>
        <w:t xml:space="preserve">2. Logging In</w:t>
      </w:r>
    </w:p>
    <w:p>
      <w:pPr>
        <w:spacing w:after="120"/>
      </w:pPr>
      <w:r>
        <w:rPr>
          <w:color w:val="374151"/>
          <w:sz w:val="20"/>
          <w:szCs w:val="20"/>
        </w:rPr>
        <w:t xml:space="preserve">Navigate to the application URL in any modern browser. You will be redirected to the login page.</w:t>
      </w:r>
    </w:p>
    <w:p>
      <w:pPr>
        <w:pStyle w:val="ListParagraph"/>
        <w:numPr>
          <w:ilvl w:val="0"/>
          <w:numId w:val="2"/>
        </w:numPr>
        <w:spacing w:after="80"/>
      </w:pPr>
      <w:r>
        <w:rPr>
          <w:color w:val="374151"/>
          <w:sz w:val="20"/>
          <w:szCs w:val="20"/>
        </w:rPr>
        <w:t xml:space="preserve">Enter your admin credentials (email + password).</w:t>
      </w:r>
    </w:p>
    <w:p>
      <w:pPr>
        <w:pStyle w:val="ListParagraph"/>
        <w:numPr>
          <w:ilvl w:val="0"/>
          <w:numId w:val="2"/>
        </w:numPr>
        <w:spacing w:after="80"/>
      </w:pPr>
      <w:r>
        <w:rPr>
          <w:color w:val="374151"/>
          <w:sz w:val="20"/>
          <w:szCs w:val="20"/>
        </w:rPr>
        <w:t xml:space="preserve">Click Sign In.</w:t>
      </w:r>
    </w:p>
    <w:p>
      <w:pPr>
        <w:pStyle w:val="ListParagraph"/>
        <w:numPr>
          <w:ilvl w:val="0"/>
          <w:numId w:val="2"/>
        </w:numPr>
        <w:spacing w:after="80"/>
      </w:pPr>
      <w:r>
        <w:rPr>
          <w:color w:val="374151"/>
          <w:sz w:val="20"/>
          <w:szCs w:val="20"/>
        </w:rPr>
        <w:t xml:space="preserve">You will be taken to the main dashboard.</w:t>
      </w:r>
    </w:p>
    <w:p>
      <w:pPr>
        <w:spacing w:after="160"/>
      </w:pPr>
    </w:p>
    <w:p>
      <w:pPr>
        <w:pBdr>
          <w:left w:val="single" w:color="D97706" w:sz="24"/>
        </w:pBdr>
        <w:shd w:fill="FFFBEB" w:val="clear"/>
        <w:spacing w:after="120" w:before="120"/>
        <w:ind w:left="360"/>
      </w:pPr>
      <w:r>
        <w:rPr>
          <w:color w:val="D97706"/>
          <w:sz w:val="19"/>
          <w:szCs w:val="19"/>
        </w:rPr>
        <w:t xml:space="preserve">⚠  The admin login is separate from bank portals. Banks never log in — they use a dedicated portal link.</w:t>
      </w:r>
    </w:p>
    <w:p>
      <w:pPr>
        <w:pBdr>
          <w:left w:val="single" w:color="1D4ED8" w:sz="24"/>
        </w:pBdr>
        <w:shd w:fill="EFF6FF" w:val="clear"/>
        <w:spacing w:after="120" w:before="120"/>
        <w:ind w:left="360"/>
      </w:pPr>
      <w:r>
        <w:rPr>
          <w:color w:val="1D4ED8"/>
          <w:sz w:val="19"/>
          <w:szCs w:val="19"/>
        </w:rPr>
        <w:t xml:space="preserve">ℹ  Session cookies expire after inactivity. If you see the login page unexpectedly, simply sign in again.</w:t>
      </w:r>
    </w:p>
    <w:p>
      <w:r>
        <w:br w:type="page"/>
      </w:r>
    </w:p>
    <w:p>
      <w:pPr>
        <w:pStyle w:val="Heading1"/>
        <w:pBdr>
          <w:bottom w:val="single" w:color="1E40AF" w:sz="8"/>
        </w:pBdr>
        <w:spacing w:after="160" w:before="400"/>
      </w:pPr>
      <w:r>
        <w:rPr>
          <w:b/>
          <w:bCs/>
          <w:color w:val="1E3A8A"/>
          <w:sz w:val="32"/>
          <w:szCs w:val="32"/>
        </w:rPr>
        <w:t xml:space="preserve">3. Navigation</w:t>
      </w:r>
    </w:p>
    <w:p>
      <w:pPr>
        <w:spacing w:after="120"/>
      </w:pPr>
      <w:r>
        <w:rPr>
          <w:color w:val="374151"/>
          <w:sz w:val="20"/>
          <w:szCs w:val="20"/>
        </w:rPr>
        <w:t xml:space="preserve">The left sidebar contains all admin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E3A8A" w:val="clear"/>
            <w:tcMar>
              <w:top w:type="dxa" w:w="60"/>
              <w:left w:type="dxa" w:w="120"/>
              <w:bottom w:type="dxa" w:w="60"/>
              <w:right w:type="dxa" w:w="120"/>
            </w:tcMar>
          </w:tcPr>
          <w:p>
            <w:r>
              <w:rPr>
                <w:b/>
                <w:bCs/>
                <w:color w:val="FFFFFF"/>
                <w:sz w:val="18"/>
                <w:szCs w:val="18"/>
              </w:rPr>
              <w:t xml:space="preserve">Menu Item</w:t>
            </w:r>
          </w:p>
        </w:tc>
        <w:tc>
          <w:tcPr>
            <w:tcW w:type="pct" w:w="75%"/>
            <w:shd w:fill="1E3A8A" w:val="clear"/>
            <w:tcMar>
              <w:top w:type="dxa" w:w="60"/>
              <w:left w:type="dxa" w:w="120"/>
              <w:bottom w:type="dxa" w:w="60"/>
              <w:right w:type="dxa" w:w="120"/>
            </w:tcMar>
          </w:tcPr>
          <w:p>
            <w:r>
              <w:rPr>
                <w:b/>
                <w:bCs/>
                <w:color w:val="FFFFFF"/>
                <w:sz w:val="18"/>
                <w:szCs w:val="18"/>
              </w:rPr>
              <w:t xml:space="preserve">Purpose</w:t>
            </w:r>
          </w:p>
        </w:tc>
      </w:tr>
      <w:tr>
        <w:trPr>
          <w:tblHeader w:val="false"/>
        </w:trPr>
        <w:tc>
          <w:tcPr>
            <w:tcW w:type="pct" w:w="25%"/>
            <w:tcMar>
              <w:top w:type="dxa" w:w="60"/>
              <w:left w:type="dxa" w:w="120"/>
              <w:bottom w:type="dxa" w:w="60"/>
              <w:right w:type="dxa" w:w="120"/>
            </w:tcMar>
          </w:tcPr>
          <w:p>
            <w:r>
              <w:rPr>
                <w:b w:val="false"/>
                <w:bCs w:val="false"/>
                <w:color w:val="374151"/>
                <w:sz w:val="18"/>
                <w:szCs w:val="18"/>
              </w:rPr>
              <w:t xml:space="preserve">Dashboard</w:t>
            </w:r>
          </w:p>
        </w:tc>
        <w:tc>
          <w:tcPr>
            <w:tcW w:type="pct" w:w="75%"/>
            <w:tcMar>
              <w:top w:type="dxa" w:w="60"/>
              <w:left w:type="dxa" w:w="120"/>
              <w:bottom w:type="dxa" w:w="60"/>
              <w:right w:type="dxa" w:w="120"/>
            </w:tcMar>
          </w:tcPr>
          <w:p>
            <w:r>
              <w:rPr>
                <w:b w:val="false"/>
                <w:bCs w:val="false"/>
                <w:color w:val="374151"/>
                <w:sz w:val="18"/>
                <w:szCs w:val="18"/>
              </w:rPr>
              <w:t xml:space="preserve">Overview stats: active outages, breaches, total penalties</w:t>
            </w:r>
          </w:p>
        </w:tc>
      </w:tr>
      <w:tr>
        <w:trPr>
          <w:tblHeader w:val="false"/>
        </w:trPr>
        <w:tc>
          <w:tcPr>
            <w:tcW w:type="pct" w:w="25%"/>
            <w:tcMar>
              <w:top w:type="dxa" w:w="60"/>
              <w:left w:type="dxa" w:w="120"/>
              <w:bottom w:type="dxa" w:w="60"/>
              <w:right w:type="dxa" w:w="120"/>
            </w:tcMar>
          </w:tcPr>
          <w:p>
            <w:r>
              <w:rPr>
                <w:b w:val="false"/>
                <w:bCs w:val="false"/>
                <w:color w:val="374151"/>
                <w:sz w:val="18"/>
                <w:szCs w:val="18"/>
              </w:rPr>
              <w:t xml:space="preserve">Banks</w:t>
            </w:r>
          </w:p>
        </w:tc>
        <w:tc>
          <w:tcPr>
            <w:tcW w:type="pct" w:w="75%"/>
            <w:tcMar>
              <w:top w:type="dxa" w:w="60"/>
              <w:left w:type="dxa" w:w="120"/>
              <w:bottom w:type="dxa" w:w="60"/>
              <w:right w:type="dxa" w:w="120"/>
            </w:tcMar>
          </w:tcPr>
          <w:p>
            <w:r>
              <w:rPr>
                <w:b w:val="false"/>
                <w:bCs w:val="false"/>
                <w:color w:val="374151"/>
                <w:sz w:val="18"/>
                <w:szCs w:val="18"/>
              </w:rPr>
              <w:t xml:space="preserve">Manage bank clients — add, edit, generate portal links</w:t>
            </w:r>
          </w:p>
        </w:tc>
      </w:tr>
      <w:tr>
        <w:trPr>
          <w:tblHeader w:val="false"/>
        </w:trPr>
        <w:tc>
          <w:tcPr>
            <w:tcW w:type="pct" w:w="25%"/>
            <w:tcMar>
              <w:top w:type="dxa" w:w="60"/>
              <w:left w:type="dxa" w:w="120"/>
              <w:bottom w:type="dxa" w:w="60"/>
              <w:right w:type="dxa" w:w="120"/>
            </w:tcMar>
          </w:tcPr>
          <w:p>
            <w:r>
              <w:rPr>
                <w:b w:val="false"/>
                <w:bCs w:val="false"/>
                <w:color w:val="374151"/>
                <w:sz w:val="18"/>
                <w:szCs w:val="18"/>
              </w:rPr>
              <w:t xml:space="preserve">SLA Config</w:t>
            </w:r>
          </w:p>
        </w:tc>
        <w:tc>
          <w:tcPr>
            <w:tcW w:type="pct" w:w="75%"/>
            <w:tcMar>
              <w:top w:type="dxa" w:w="60"/>
              <w:left w:type="dxa" w:w="120"/>
              <w:bottom w:type="dxa" w:w="60"/>
              <w:right w:type="dxa" w:w="120"/>
            </w:tcMar>
          </w:tcPr>
          <w:p>
            <w:r>
              <w:rPr>
                <w:b w:val="false"/>
                <w:bCs w:val="false"/>
                <w:color w:val="374151"/>
                <w:sz w:val="18"/>
                <w:szCs w:val="18"/>
              </w:rPr>
              <w:t xml:space="preserve">Define uptime SLA thresholds and penalties per bank/vendor/product</w:t>
            </w:r>
          </w:p>
        </w:tc>
      </w:tr>
      <w:tr>
        <w:trPr>
          <w:tblHeader w:val="false"/>
        </w:trPr>
        <w:tc>
          <w:tcPr>
            <w:tcW w:type="pct" w:w="25%"/>
            <w:tcMar>
              <w:top w:type="dxa" w:w="60"/>
              <w:left w:type="dxa" w:w="120"/>
              <w:bottom w:type="dxa" w:w="60"/>
              <w:right w:type="dxa" w:w="120"/>
            </w:tcMar>
          </w:tcPr>
          <w:p>
            <w:r>
              <w:rPr>
                <w:b w:val="false"/>
                <w:bCs w:val="false"/>
                <w:color w:val="374151"/>
                <w:sz w:val="18"/>
                <w:szCs w:val="18"/>
              </w:rPr>
              <w:t xml:space="preserve">Inbox</w:t>
            </w:r>
          </w:p>
        </w:tc>
        <w:tc>
          <w:tcPr>
            <w:tcW w:type="pct" w:w="75%"/>
            <w:tcMar>
              <w:top w:type="dxa" w:w="60"/>
              <w:left w:type="dxa" w:w="120"/>
              <w:bottom w:type="dxa" w:w="60"/>
              <w:right w:type="dxa" w:w="120"/>
            </w:tcMar>
          </w:tcPr>
          <w:p>
            <w:r>
              <w:rPr>
                <w:b w:val="false"/>
                <w:bCs w:val="false"/>
                <w:color w:val="374151"/>
                <w:sz w:val="18"/>
                <w:szCs w:val="18"/>
              </w:rPr>
              <w:t xml:space="preserve">Manually log outage start/end events</w:t>
            </w:r>
          </w:p>
        </w:tc>
      </w:tr>
      <w:tr>
        <w:trPr>
          <w:tblHeader w:val="false"/>
        </w:trPr>
        <w:tc>
          <w:tcPr>
            <w:tcW w:type="pct" w:w="25%"/>
            <w:tcMar>
              <w:top w:type="dxa" w:w="60"/>
              <w:left w:type="dxa" w:w="120"/>
              <w:bottom w:type="dxa" w:w="60"/>
              <w:right w:type="dxa" w:w="120"/>
            </w:tcMar>
          </w:tcPr>
          <w:p>
            <w:r>
              <w:rPr>
                <w:b w:val="false"/>
                <w:bCs w:val="false"/>
                <w:color w:val="374151"/>
                <w:sz w:val="18"/>
                <w:szCs w:val="18"/>
              </w:rPr>
              <w:t xml:space="preserve">Breach Log</w:t>
            </w:r>
          </w:p>
        </w:tc>
        <w:tc>
          <w:tcPr>
            <w:tcW w:type="pct" w:w="75%"/>
            <w:tcMar>
              <w:top w:type="dxa" w:w="60"/>
              <w:left w:type="dxa" w:w="120"/>
              <w:bottom w:type="dxa" w:w="60"/>
              <w:right w:type="dxa" w:w="120"/>
            </w:tcMar>
          </w:tcPr>
          <w:p>
            <w:r>
              <w:rPr>
                <w:b w:val="false"/>
                <w:bCs w:val="false"/>
                <w:color w:val="374151"/>
                <w:sz w:val="18"/>
                <w:szCs w:val="18"/>
              </w:rPr>
              <w:t xml:space="preserve">Full history of all outages across all banks</w:t>
            </w:r>
          </w:p>
        </w:tc>
      </w:tr>
      <w:tr>
        <w:trPr>
          <w:tblHeader w:val="false"/>
        </w:trPr>
        <w:tc>
          <w:tcPr>
            <w:tcW w:type="pct" w:w="25%"/>
            <w:tcMar>
              <w:top w:type="dxa" w:w="60"/>
              <w:left w:type="dxa" w:w="120"/>
              <w:bottom w:type="dxa" w:w="60"/>
              <w:right w:type="dxa" w:w="120"/>
            </w:tcMar>
          </w:tcPr>
          <w:p>
            <w:r>
              <w:rPr>
                <w:b w:val="false"/>
                <w:bCs w:val="false"/>
                <w:color w:val="374151"/>
                <w:sz w:val="18"/>
                <w:szCs w:val="18"/>
              </w:rPr>
              <w:t xml:space="preserve">Report</w:t>
            </w:r>
          </w:p>
        </w:tc>
        <w:tc>
          <w:tcPr>
            <w:tcW w:type="pct" w:w="75%"/>
            <w:tcMar>
              <w:top w:type="dxa" w:w="60"/>
              <w:left w:type="dxa" w:w="120"/>
              <w:bottom w:type="dxa" w:w="60"/>
              <w:right w:type="dxa" w:w="120"/>
            </w:tcMar>
          </w:tcPr>
          <w:p>
            <w:r>
              <w:rPr>
                <w:b w:val="false"/>
                <w:bCs w:val="false"/>
                <w:color w:val="374151"/>
                <w:sz w:val="18"/>
                <w:szCs w:val="18"/>
              </w:rPr>
              <w:t xml:space="preserve">AI-generated SLA breach reports (downloadable)</w:t>
            </w:r>
          </w:p>
        </w:tc>
      </w:tr>
      <w:tr>
        <w:trPr>
          <w:tblHeader w:val="false"/>
        </w:trPr>
        <w:tc>
          <w:tcPr>
            <w:tcW w:type="pct" w:w="25%"/>
            <w:tcMar>
              <w:top w:type="dxa" w:w="60"/>
              <w:left w:type="dxa" w:w="120"/>
              <w:bottom w:type="dxa" w:w="60"/>
              <w:right w:type="dxa" w:w="120"/>
            </w:tcMar>
          </w:tcPr>
          <w:p>
            <w:r>
              <w:rPr>
                <w:b w:val="false"/>
                <w:bCs w:val="false"/>
                <w:color w:val="374151"/>
                <w:sz w:val="18"/>
                <w:szCs w:val="18"/>
              </w:rPr>
              <w:t xml:space="preserve">Products</w:t>
            </w:r>
          </w:p>
        </w:tc>
        <w:tc>
          <w:tcPr>
            <w:tcW w:type="pct" w:w="75%"/>
            <w:tcMar>
              <w:top w:type="dxa" w:w="60"/>
              <w:left w:type="dxa" w:w="120"/>
              <w:bottom w:type="dxa" w:w="60"/>
              <w:right w:type="dxa" w:w="120"/>
            </w:tcMar>
          </w:tcPr>
          <w:p>
            <w:r>
              <w:rPr>
                <w:b w:val="false"/>
                <w:bCs w:val="false"/>
                <w:color w:val="374151"/>
                <w:sz w:val="18"/>
                <w:szCs w:val="18"/>
              </w:rPr>
              <w:t xml:space="preserve">Vendor product catalog</w:t>
            </w:r>
          </w:p>
        </w:tc>
      </w:tr>
      <w:tr>
        <w:trPr>
          <w:tblHeader w:val="false"/>
        </w:trPr>
        <w:tc>
          <w:tcPr>
            <w:tcW w:type="pct" w:w="25%"/>
            <w:tcMar>
              <w:top w:type="dxa" w:w="60"/>
              <w:left w:type="dxa" w:w="120"/>
              <w:bottom w:type="dxa" w:w="60"/>
              <w:right w:type="dxa" w:w="120"/>
            </w:tcMar>
          </w:tcPr>
          <w:p>
            <w:r>
              <w:rPr>
                <w:b w:val="false"/>
                <w:bCs w:val="false"/>
                <w:color w:val="374151"/>
                <w:sz w:val="18"/>
                <w:szCs w:val="18"/>
              </w:rPr>
              <w:t xml:space="preserve">Email Config</w:t>
            </w:r>
          </w:p>
        </w:tc>
        <w:tc>
          <w:tcPr>
            <w:tcW w:type="pct" w:w="75%"/>
            <w:tcMar>
              <w:top w:type="dxa" w:w="60"/>
              <w:left w:type="dxa" w:w="120"/>
              <w:bottom w:type="dxa" w:w="60"/>
              <w:right w:type="dxa" w:w="120"/>
            </w:tcMar>
          </w:tcPr>
          <w:p>
            <w:r>
              <w:rPr>
                <w:b w:val="false"/>
                <w:bCs w:val="false"/>
                <w:color w:val="374151"/>
                <w:sz w:val="18"/>
                <w:szCs w:val="18"/>
              </w:rPr>
              <w:t xml:space="preserve">IMAP settings for automated email ingestion</w:t>
            </w:r>
          </w:p>
        </w:tc>
      </w:tr>
    </w:tbl>
    <w:p>
      <w:r>
        <w:br w:type="page"/>
      </w:r>
    </w:p>
    <w:p>
      <w:pPr>
        <w:pStyle w:val="Heading1"/>
        <w:pBdr>
          <w:bottom w:val="single" w:color="1E40AF" w:sz="8"/>
        </w:pBdr>
        <w:spacing w:after="160" w:before="400"/>
      </w:pPr>
      <w:r>
        <w:rPr>
          <w:b/>
          <w:bCs/>
          <w:color w:val="1E3A8A"/>
          <w:sz w:val="32"/>
          <w:szCs w:val="32"/>
        </w:rPr>
        <w:t xml:space="preserve">4. Banks</w:t>
      </w:r>
    </w:p>
    <w:p>
      <w:pPr>
        <w:spacing w:after="120"/>
      </w:pPr>
      <w:r>
        <w:rPr>
          <w:color w:val="374151"/>
          <w:sz w:val="20"/>
          <w:szCs w:val="20"/>
        </w:rPr>
        <w:t xml:space="preserve">Every bank client must be registered before any SLA rules or outages can be associated with them.</w:t>
      </w:r>
    </w:p>
    <w:p>
      <w:pPr>
        <w:spacing w:after="160"/>
      </w:pPr>
    </w:p>
    <w:p>
      <w:pPr>
        <w:pStyle w:val="Heading2"/>
        <w:spacing w:after="120" w:before="320"/>
      </w:pPr>
      <w:r>
        <w:rPr>
          <w:b/>
          <w:bCs/>
          <w:color w:val="1E40AF"/>
          <w:sz w:val="26"/>
          <w:szCs w:val="26"/>
        </w:rPr>
        <w:t xml:space="preserve">4.1  Adding a Bank</w:t>
      </w:r>
    </w:p>
    <w:p>
      <w:pPr>
        <w:pStyle w:val="ListParagraph"/>
        <w:numPr>
          <w:ilvl w:val="0"/>
          <w:numId w:val="2"/>
        </w:numPr>
        <w:spacing w:after="80"/>
      </w:pPr>
      <w:r>
        <w:rPr>
          <w:color w:val="374151"/>
          <w:sz w:val="20"/>
          <w:szCs w:val="20"/>
        </w:rPr>
        <w:t xml:space="preserve">Click Banks in the sidebar.</w:t>
      </w:r>
    </w:p>
    <w:p>
      <w:pPr>
        <w:pStyle w:val="ListParagraph"/>
        <w:numPr>
          <w:ilvl w:val="0"/>
          <w:numId w:val="2"/>
        </w:numPr>
        <w:spacing w:after="80"/>
      </w:pPr>
      <w:r>
        <w:rPr>
          <w:color w:val="374151"/>
          <w:sz w:val="20"/>
          <w:szCs w:val="20"/>
        </w:rPr>
        <w:t xml:space="preserve">Click Add Bank (top-right button).</w:t>
      </w:r>
    </w:p>
    <w:p>
      <w:pPr>
        <w:pStyle w:val="ListParagraph"/>
        <w:numPr>
          <w:ilvl w:val="0"/>
          <w:numId w:val="2"/>
        </w:numPr>
        <w:spacing w:after="80"/>
      </w:pPr>
      <w:r>
        <w:rPr>
          <w:color w:val="374151"/>
          <w:sz w:val="20"/>
          <w:szCs w:val="20"/>
        </w:rPr>
        <w:t xml:space="preserve">Fill in the two required fields:</w:t>
      </w:r>
    </w:p>
    <w:p>
      <w:pPr>
        <w:pStyle w:val="ListParagraph"/>
        <w:numPr>
          <w:ilvl w:val="1"/>
          <w:numId w:val="2"/>
        </w:numPr>
        <w:spacing w:after="80"/>
      </w:pPr>
      <w:r>
        <w:rPr>
          <w:b/>
          <w:bCs/>
          <w:color w:val="111827"/>
          <w:sz w:val="20"/>
          <w:szCs w:val="20"/>
        </w:rPr>
        <w:t xml:space="preserve">Bank Name: </w:t>
      </w:r>
      <w:r>
        <w:rPr>
          <w:color w:val="374151"/>
          <w:sz w:val="20"/>
          <w:szCs w:val="20"/>
        </w:rPr>
        <w:t xml:space="preserve">full legal name, e.g. First National Bank.</w:t>
      </w:r>
    </w:p>
    <w:p>
      <w:pPr>
        <w:pStyle w:val="ListParagraph"/>
        <w:numPr>
          <w:ilvl w:val="1"/>
          <w:numId w:val="2"/>
        </w:numPr>
        <w:spacing w:after="80"/>
      </w:pPr>
      <w:r>
        <w:rPr>
          <w:b/>
          <w:bCs/>
          <w:color w:val="111827"/>
          <w:sz w:val="20"/>
          <w:szCs w:val="20"/>
        </w:rPr>
        <w:t xml:space="preserve">Email Alias: </w:t>
      </w:r>
      <w:r>
        <w:rPr>
          <w:color w:val="374151"/>
          <w:sz w:val="20"/>
          <w:szCs w:val="20"/>
        </w:rPr>
        <w:t xml:space="preserve">short slug used in the email routing address, e.g. </w:t>
      </w:r>
      <w:r>
        <w:rPr>
          <w:rFonts w:ascii="Courier New" w:cs="Courier New" w:eastAsia="Courier New" w:hAnsi="Courier New"/>
          <w:color w:val="1E40AF"/>
          <w:sz w:val="18"/>
          <w:szCs w:val="18"/>
        </w:rPr>
        <w:t xml:space="preserve">firstnational</w:t>
      </w:r>
      <w:r>
        <w:rPr>
          <w:color w:val="374151"/>
          <w:sz w:val="20"/>
          <w:szCs w:val="20"/>
        </w:rPr>
        <w:t xml:space="preserve">. Lowercase letters, numbers, hyphens, underscores only.</w:t>
      </w:r>
    </w:p>
    <w:p>
      <w:pPr>
        <w:pStyle w:val="ListParagraph"/>
        <w:numPr>
          <w:ilvl w:val="0"/>
          <w:numId w:val="2"/>
        </w:numPr>
        <w:spacing w:after="80"/>
      </w:pPr>
      <w:r>
        <w:rPr>
          <w:color w:val="374151"/>
          <w:sz w:val="20"/>
          <w:szCs w:val="20"/>
        </w:rPr>
        <w:t xml:space="preserve">Click Save Bank.</w:t>
      </w:r>
    </w:p>
    <w:p>
      <w:pPr>
        <w:spacing w:after="160"/>
      </w:pPr>
    </w:p>
    <w:p>
      <w:pPr>
        <w:pBdr>
          <w:left w:val="single" w:color="1D4ED8" w:sz="24"/>
        </w:pBdr>
        <w:shd w:fill="EFF6FF" w:val="clear"/>
        <w:spacing w:after="120" w:before="120"/>
        <w:ind w:left="360"/>
      </w:pPr>
      <w:r>
        <w:rPr>
          <w:color w:val="1D4ED8"/>
          <w:sz w:val="19"/>
          <w:szCs w:val="19"/>
        </w:rPr>
        <w:t xml:space="preserve">ℹ  The email alias determines the inbound email address: sla+{alias}@impactfiadvisors.com. Emails sent to that address will be automatically associated with this bank.</w:t>
      </w:r>
    </w:p>
    <w:p>
      <w:pPr>
        <w:spacing w:after="160"/>
      </w:pPr>
    </w:p>
    <w:p>
      <w:pPr>
        <w:pStyle w:val="Heading2"/>
        <w:spacing w:after="120" w:before="320"/>
      </w:pPr>
      <w:r>
        <w:rPr>
          <w:b/>
          <w:bCs/>
          <w:color w:val="1E40AF"/>
          <w:sz w:val="26"/>
          <w:szCs w:val="26"/>
        </w:rPr>
        <w:t xml:space="preserve">4.2  The Portal Link</w:t>
      </w:r>
    </w:p>
    <w:p>
      <w:pPr>
        <w:spacing w:after="120"/>
      </w:pPr>
      <w:r>
        <w:rPr>
          <w:color w:val="374151"/>
          <w:sz w:val="20"/>
          <w:szCs w:val="20"/>
        </w:rPr>
        <w:t xml:space="preserve">Each bank gets a unique read-only portal URL. After adding a bank:</w:t>
      </w:r>
    </w:p>
    <w:p>
      <w:pPr>
        <w:pStyle w:val="ListParagraph"/>
        <w:numPr>
          <w:ilvl w:val="0"/>
          <w:numId w:val="2"/>
        </w:numPr>
        <w:spacing w:after="80"/>
      </w:pPr>
      <w:r>
        <w:rPr>
          <w:color w:val="374151"/>
          <w:sz w:val="20"/>
          <w:szCs w:val="20"/>
        </w:rPr>
        <w:t xml:space="preserve">Locate the bank in the Banks list.</w:t>
      </w:r>
    </w:p>
    <w:p>
      <w:pPr>
        <w:pStyle w:val="ListParagraph"/>
        <w:numPr>
          <w:ilvl w:val="0"/>
          <w:numId w:val="2"/>
        </w:numPr>
        <w:spacing w:after="80"/>
      </w:pPr>
      <w:r>
        <w:rPr>
          <w:color w:val="374151"/>
          <w:sz w:val="20"/>
          <w:szCs w:val="20"/>
        </w:rPr>
        <w:t xml:space="preserve">Click the copy icon next to Portal Link to copy the URL to your clipboard.</w:t>
      </w:r>
    </w:p>
    <w:p>
      <w:pPr>
        <w:pStyle w:val="ListParagraph"/>
        <w:numPr>
          <w:ilvl w:val="0"/>
          <w:numId w:val="2"/>
        </w:numPr>
        <w:spacing w:after="80"/>
      </w:pPr>
      <w:r>
        <w:rPr>
          <w:color w:val="374151"/>
          <w:sz w:val="20"/>
          <w:szCs w:val="20"/>
        </w:rPr>
        <w:t xml:space="preserve">Send this URL to your bank contact via email or your usual communication channel.</w:t>
      </w:r>
    </w:p>
    <w:p>
      <w:pPr>
        <w:spacing w:after="160"/>
      </w:pPr>
    </w:p>
    <w:p>
      <w:pPr>
        <w:pBdr>
          <w:left w:val="single" w:color="16A34A" w:sz="24"/>
        </w:pBdr>
        <w:shd w:fill="F0FDF4" w:val="clear"/>
        <w:spacing w:after="120" w:before="120"/>
        <w:ind w:left="360"/>
      </w:pPr>
      <w:r>
        <w:rPr>
          <w:color w:val="16A34A"/>
          <w:sz w:val="19"/>
          <w:szCs w:val="19"/>
        </w:rPr>
        <w:t xml:space="preserve">✓  The portal link never expires unless you explicitly regenerate the token. Banks can bookmark it.</w:t>
      </w:r>
    </w:p>
    <w:p>
      <w:pPr>
        <w:spacing w:after="160"/>
      </w:pPr>
    </w:p>
    <w:p>
      <w:pPr>
        <w:pStyle w:val="Heading2"/>
        <w:spacing w:after="120" w:before="320"/>
      </w:pPr>
      <w:r>
        <w:rPr>
          <w:b/>
          <w:bCs/>
          <w:color w:val="1E40AF"/>
          <w:sz w:val="26"/>
          <w:szCs w:val="26"/>
        </w:rPr>
        <w:t xml:space="preserve">4.3  Regenerating a Portal Token</w:t>
      </w:r>
    </w:p>
    <w:p>
      <w:pPr>
        <w:spacing w:after="120"/>
      </w:pPr>
      <w:r>
        <w:rPr>
          <w:color w:val="374151"/>
          <w:sz w:val="20"/>
          <w:szCs w:val="20"/>
        </w:rPr>
        <w:t xml:space="preserve">If a portal link is compromised or shared with the wrong person:</w:t>
      </w:r>
    </w:p>
    <w:p>
      <w:pPr>
        <w:pStyle w:val="ListParagraph"/>
        <w:numPr>
          <w:ilvl w:val="0"/>
          <w:numId w:val="2"/>
        </w:numPr>
        <w:spacing w:after="80"/>
      </w:pPr>
      <w:r>
        <w:rPr>
          <w:color w:val="374151"/>
          <w:sz w:val="20"/>
          <w:szCs w:val="20"/>
        </w:rPr>
        <w:t xml:space="preserve">Open the Banks page.</w:t>
      </w:r>
    </w:p>
    <w:p>
      <w:pPr>
        <w:pStyle w:val="ListParagraph"/>
        <w:numPr>
          <w:ilvl w:val="0"/>
          <w:numId w:val="2"/>
        </w:numPr>
        <w:spacing w:after="80"/>
      </w:pPr>
      <w:r>
        <w:rPr>
          <w:color w:val="374151"/>
          <w:sz w:val="20"/>
          <w:szCs w:val="20"/>
        </w:rPr>
        <w:t xml:space="preserve">Click the refresh icon next to the affected bank.</w:t>
      </w:r>
    </w:p>
    <w:p>
      <w:pPr>
        <w:pStyle w:val="ListParagraph"/>
        <w:numPr>
          <w:ilvl w:val="0"/>
          <w:numId w:val="2"/>
        </w:numPr>
        <w:spacing w:after="80"/>
      </w:pPr>
      <w:r>
        <w:rPr>
          <w:color w:val="374151"/>
          <w:sz w:val="20"/>
          <w:szCs w:val="20"/>
        </w:rPr>
        <w:t xml:space="preserve">Confirm the action. The old link is immediately invalidated.</w:t>
      </w:r>
    </w:p>
    <w:p>
      <w:pPr>
        <w:pStyle w:val="ListParagraph"/>
        <w:numPr>
          <w:ilvl w:val="0"/>
          <w:numId w:val="2"/>
        </w:numPr>
        <w:spacing w:after="80"/>
      </w:pPr>
      <w:r>
        <w:rPr>
          <w:color w:val="374151"/>
          <w:sz w:val="20"/>
          <w:szCs w:val="20"/>
        </w:rPr>
        <w:t xml:space="preserve">Share the new portal link with the bank.</w:t>
      </w:r>
    </w:p>
    <w:p>
      <w:pPr>
        <w:pBdr>
          <w:left w:val="single" w:color="D97706" w:sz="24"/>
        </w:pBdr>
        <w:shd w:fill="FFFBEB" w:val="clear"/>
        <w:spacing w:after="120" w:before="120"/>
        <w:ind w:left="360"/>
      </w:pPr>
      <w:r>
        <w:rPr>
          <w:color w:val="D97706"/>
          <w:sz w:val="19"/>
          <w:szCs w:val="19"/>
        </w:rPr>
        <w:t xml:space="preserve">⚠  The old portal URL stops working instantly. Notify the bank contact before regenerating so they are not caught off guard.</w:t>
      </w:r>
    </w:p>
    <w:p>
      <w:pPr>
        <w:spacing w:after="160"/>
      </w:pPr>
    </w:p>
    <w:p>
      <w:pPr>
        <w:pStyle w:val="Heading2"/>
        <w:spacing w:after="120" w:before="320"/>
      </w:pPr>
      <w:r>
        <w:rPr>
          <w:b/>
          <w:bCs/>
          <w:color w:val="1E40AF"/>
          <w:sz w:val="26"/>
          <w:szCs w:val="26"/>
        </w:rPr>
        <w:t xml:space="preserve">4.4  Editing or Deleting a Bank</w:t>
      </w:r>
    </w:p>
    <w:p>
      <w:pPr>
        <w:pStyle w:val="ListParagraph"/>
        <w:numPr>
          <w:ilvl w:val="0"/>
          <w:numId w:val="1"/>
        </w:numPr>
        <w:spacing w:after="80"/>
      </w:pPr>
      <w:r>
        <w:rPr>
          <w:color w:val="374151"/>
          <w:sz w:val="20"/>
          <w:szCs w:val="20"/>
        </w:rPr>
        <w:t xml:space="preserve">Click the Edit (pencil) icon to update the bank name or email alias.</w:t>
      </w:r>
    </w:p>
    <w:p>
      <w:pPr>
        <w:pStyle w:val="ListParagraph"/>
        <w:numPr>
          <w:ilvl w:val="0"/>
          <w:numId w:val="1"/>
        </w:numPr>
        <w:spacing w:after="80"/>
      </w:pPr>
      <w:r>
        <w:rPr>
          <w:color w:val="374151"/>
          <w:sz w:val="20"/>
          <w:szCs w:val="20"/>
        </w:rPr>
        <w:t xml:space="preserve">Click the Delete (trash) icon to permanently remove a bank and all associated data.</w:t>
      </w:r>
    </w:p>
    <w:p>
      <w:pPr>
        <w:pBdr>
          <w:left w:val="single" w:color="D97706" w:sz="24"/>
        </w:pBdr>
        <w:shd w:fill="FFFBEB" w:val="clear"/>
        <w:spacing w:after="120" w:before="120"/>
        <w:ind w:left="360"/>
      </w:pPr>
      <w:r>
        <w:rPr>
          <w:color w:val="D97706"/>
          <w:sz w:val="19"/>
          <w:szCs w:val="19"/>
        </w:rPr>
        <w:t xml:space="preserve">⚠  Deleting a bank is irreversible. All SLA rules, outages, and events for that bank will be permanently removed.</w:t>
      </w:r>
    </w:p>
    <w:p>
      <w:r>
        <w:br w:type="page"/>
      </w:r>
    </w:p>
    <w:p>
      <w:pPr>
        <w:pStyle w:val="Heading1"/>
        <w:pBdr>
          <w:bottom w:val="single" w:color="1E40AF" w:sz="8"/>
        </w:pBdr>
        <w:spacing w:after="160" w:before="400"/>
      </w:pPr>
      <w:r>
        <w:rPr>
          <w:b/>
          <w:bCs/>
          <w:color w:val="1E3A8A"/>
          <w:sz w:val="32"/>
          <w:szCs w:val="32"/>
        </w:rPr>
        <w:t xml:space="preserve">5. SLA Configuration</w:t>
      </w:r>
    </w:p>
    <w:p>
      <w:pPr>
        <w:spacing w:after="120"/>
      </w:pPr>
      <w:r>
        <w:rPr>
          <w:color w:val="374151"/>
          <w:sz w:val="20"/>
          <w:szCs w:val="20"/>
        </w:rPr>
        <w:t xml:space="preserve">SLA rules define what level of uptime each vendor must meet for a specific bank, and what the financial penalty is per hour of excess downtime.</w:t>
      </w:r>
    </w:p>
    <w:p>
      <w:pPr>
        <w:spacing w:after="160"/>
      </w:pPr>
    </w:p>
    <w:p>
      <w:pPr>
        <w:pStyle w:val="Heading2"/>
        <w:spacing w:after="120" w:before="320"/>
      </w:pPr>
      <w:r>
        <w:rPr>
          <w:b/>
          <w:bCs/>
          <w:color w:val="1E40AF"/>
          <w:sz w:val="26"/>
          <w:szCs w:val="26"/>
        </w:rPr>
        <w:t xml:space="preserve">5.1  Adding an SLA Rule</w:t>
      </w:r>
    </w:p>
    <w:p>
      <w:pPr>
        <w:pStyle w:val="ListParagraph"/>
        <w:numPr>
          <w:ilvl w:val="0"/>
          <w:numId w:val="2"/>
        </w:numPr>
        <w:spacing w:after="80"/>
      </w:pPr>
      <w:r>
        <w:rPr>
          <w:color w:val="374151"/>
          <w:sz w:val="20"/>
          <w:szCs w:val="20"/>
        </w:rPr>
        <w:t xml:space="preserve">Click SLA Config in the sidebar.</w:t>
      </w:r>
    </w:p>
    <w:p>
      <w:pPr>
        <w:pStyle w:val="ListParagraph"/>
        <w:numPr>
          <w:ilvl w:val="0"/>
          <w:numId w:val="2"/>
        </w:numPr>
        <w:spacing w:after="80"/>
      </w:pPr>
      <w:r>
        <w:rPr>
          <w:color w:val="374151"/>
          <w:sz w:val="20"/>
          <w:szCs w:val="20"/>
        </w:rPr>
        <w:t xml:space="preserve">Select the Bank from the dropdown at the top of the form.</w:t>
      </w:r>
    </w:p>
    <w:p>
      <w:pPr>
        <w:pStyle w:val="ListParagraph"/>
        <w:numPr>
          <w:ilvl w:val="0"/>
          <w:numId w:val="2"/>
        </w:numPr>
        <w:spacing w:after="80"/>
      </w:pPr>
      <w:r>
        <w:rPr>
          <w:color w:val="374151"/>
          <w:sz w:val="20"/>
          <w:szCs w:val="20"/>
        </w:rPr>
        <w:t xml:space="preserve">Enter the Vendor name (e.g. Fiserv).</w:t>
      </w:r>
    </w:p>
    <w:p>
      <w:pPr>
        <w:pStyle w:val="ListParagraph"/>
        <w:numPr>
          <w:ilvl w:val="0"/>
          <w:numId w:val="2"/>
        </w:numPr>
        <w:spacing w:after="80"/>
      </w:pPr>
      <w:r>
        <w:rPr>
          <w:color w:val="374151"/>
          <w:sz w:val="20"/>
          <w:szCs w:val="20"/>
        </w:rPr>
        <w:t xml:space="preserve">Enter the Product name (e.g. Core Banking).</w:t>
      </w:r>
    </w:p>
    <w:p>
      <w:pPr>
        <w:pStyle w:val="ListParagraph"/>
        <w:numPr>
          <w:ilvl w:val="0"/>
          <w:numId w:val="2"/>
        </w:numPr>
        <w:spacing w:after="80"/>
      </w:pPr>
      <w:r>
        <w:rPr>
          <w:color w:val="374151"/>
          <w:sz w:val="20"/>
          <w:szCs w:val="20"/>
        </w:rPr>
        <w:t xml:space="preserve">Enter the Uptime SLA % (e.g. 99.9 for 99.9% uptime).</w:t>
      </w:r>
    </w:p>
    <w:p>
      <w:pPr>
        <w:pStyle w:val="ListParagraph"/>
        <w:numPr>
          <w:ilvl w:val="0"/>
          <w:numId w:val="2"/>
        </w:numPr>
        <w:spacing w:after="80"/>
      </w:pPr>
      <w:r>
        <w:rPr>
          <w:color w:val="374151"/>
          <w:sz w:val="20"/>
          <w:szCs w:val="20"/>
        </w:rPr>
        <w:t xml:space="preserve">Enter the Penalty per Hour in USD (e.g. 500 for $500/hr).</w:t>
      </w:r>
    </w:p>
    <w:p>
      <w:pPr>
        <w:pStyle w:val="ListParagraph"/>
        <w:numPr>
          <w:ilvl w:val="0"/>
          <w:numId w:val="2"/>
        </w:numPr>
        <w:spacing w:after="80"/>
      </w:pPr>
      <w:r>
        <w:rPr>
          <w:color w:val="374151"/>
          <w:sz w:val="20"/>
          <w:szCs w:val="20"/>
        </w:rPr>
        <w:t xml:space="preserve">Click Add Rule.</w:t>
      </w:r>
    </w:p>
    <w:p>
      <w:pPr>
        <w:spacing w:after="160"/>
      </w:pPr>
    </w:p>
    <w:p>
      <w:pPr>
        <w:pBdr>
          <w:left w:val="single" w:color="1D4ED8" w:sz="24"/>
        </w:pBdr>
        <w:shd w:fill="EFF6FF" w:val="clear"/>
        <w:spacing w:after="120" w:before="120"/>
        <w:ind w:left="360"/>
      </w:pPr>
      <w:r>
        <w:rPr>
          <w:color w:val="1D4ED8"/>
          <w:sz w:val="19"/>
          <w:szCs w:val="19"/>
        </w:rPr>
        <w:t xml:space="preserve">ℹ  The allowed downtime in minutes per month is automatically calculated as: days-in-month × 1440 × (1 − uptime_pct / 100). Breaches are computed cumulatively across all outages in the same calendar month.</w:t>
      </w:r>
    </w:p>
    <w:p>
      <w:pPr>
        <w:spacing w:after="160"/>
      </w:pPr>
    </w:p>
    <w:p>
      <w:pPr>
        <w:pStyle w:val="Heading2"/>
        <w:spacing w:after="120" w:before="320"/>
      </w:pPr>
      <w:r>
        <w:rPr>
          <w:b/>
          <w:bCs/>
          <w:color w:val="1E40AF"/>
          <w:sz w:val="26"/>
          <w:szCs w:val="26"/>
        </w:rPr>
        <w:t xml:space="preserve">5.2  How Breach Detection Works</w:t>
      </w:r>
    </w:p>
    <w:p>
      <w:pPr>
        <w:spacing w:after="120"/>
      </w:pPr>
      <w:r>
        <w:rPr>
          <w:color w:val="374151"/>
          <w:sz w:val="20"/>
          <w:szCs w:val="20"/>
        </w:rPr>
        <w:t xml:space="preserve">When an outage is resolved, the system:</w:t>
      </w:r>
    </w:p>
    <w:p>
      <w:pPr>
        <w:pStyle w:val="ListParagraph"/>
        <w:numPr>
          <w:ilvl w:val="0"/>
          <w:numId w:val="2"/>
        </w:numPr>
        <w:spacing w:after="80"/>
      </w:pPr>
      <w:r>
        <w:rPr>
          <w:color w:val="374151"/>
          <w:sz w:val="20"/>
          <w:szCs w:val="20"/>
        </w:rPr>
        <w:t xml:space="preserve">Sums all resolved outage minutes for that bank/vendor/product combination in the current calendar month.</w:t>
      </w:r>
    </w:p>
    <w:p>
      <w:pPr>
        <w:pStyle w:val="ListParagraph"/>
        <w:numPr>
          <w:ilvl w:val="0"/>
          <w:numId w:val="2"/>
        </w:numPr>
        <w:spacing w:after="80"/>
      </w:pPr>
      <w:r>
        <w:rPr>
          <w:color w:val="374151"/>
          <w:sz w:val="20"/>
          <w:szCs w:val="20"/>
        </w:rPr>
        <w:t xml:space="preserve">Compares the total to the allowed downtime from the SLA rule.</w:t>
      </w:r>
    </w:p>
    <w:p>
      <w:pPr>
        <w:pStyle w:val="ListParagraph"/>
        <w:numPr>
          <w:ilvl w:val="0"/>
          <w:numId w:val="2"/>
        </w:numPr>
        <w:spacing w:after="80"/>
      </w:pPr>
      <w:r>
        <w:rPr>
          <w:color w:val="374151"/>
          <w:sz w:val="20"/>
          <w:szCs w:val="20"/>
        </w:rPr>
        <w:t xml:space="preserve">If total minutes &gt; allowed minutes, the status is set to Breached and a penalty is calculated.</w:t>
      </w:r>
    </w:p>
    <w:p>
      <w:pPr>
        <w:pStyle w:val="ListParagraph"/>
        <w:numPr>
          <w:ilvl w:val="0"/>
          <w:numId w:val="2"/>
        </w:numPr>
        <w:spacing w:after="80"/>
      </w:pPr>
      <w:r>
        <w:rPr>
          <w:color w:val="374151"/>
          <w:sz w:val="20"/>
          <w:szCs w:val="20"/>
        </w:rPr>
        <w:t xml:space="preserve">Penalty = (excess minutes ÷ 60) × penalty_per_hr.</w:t>
      </w:r>
    </w:p>
    <w:p>
      <w:pPr>
        <w:spacing w:after="160"/>
      </w:pPr>
    </w:p>
    <w:p>
      <w:pPr>
        <w:pStyle w:val="Heading2"/>
        <w:spacing w:after="120" w:before="320"/>
      </w:pPr>
      <w:r>
        <w:rPr>
          <w:b/>
          <w:bCs/>
          <w:color w:val="1E40AF"/>
          <w:sz w:val="26"/>
          <w:szCs w:val="26"/>
        </w:rPr>
        <w:t xml:space="preserve">5.3  Deleting an SLA Rule</w:t>
      </w:r>
    </w:p>
    <w:p>
      <w:pPr>
        <w:spacing w:after="120"/>
      </w:pPr>
      <w:r>
        <w:rPr>
          <w:color w:val="374151"/>
          <w:sz w:val="20"/>
          <w:szCs w:val="20"/>
        </w:rPr>
        <w:t xml:space="preserve">Click the trash icon on any rule row. This does not retroactively change breach status on past outages.</w:t>
      </w:r>
    </w:p>
    <w:p>
      <w:r>
        <w:br w:type="page"/>
      </w:r>
    </w:p>
    <w:p>
      <w:pPr>
        <w:pStyle w:val="Heading1"/>
        <w:pBdr>
          <w:bottom w:val="single" w:color="1E40AF" w:sz="8"/>
        </w:pBdr>
        <w:spacing w:after="160" w:before="400"/>
      </w:pPr>
      <w:r>
        <w:rPr>
          <w:b/>
          <w:bCs/>
          <w:color w:val="1E3A8A"/>
          <w:sz w:val="32"/>
          <w:szCs w:val="32"/>
        </w:rPr>
        <w:t xml:space="preserve">6. Inbox — Logging Events</w:t>
      </w:r>
    </w:p>
    <w:p>
      <w:pPr>
        <w:spacing w:after="120"/>
      </w:pPr>
      <w:r>
        <w:rPr>
          <w:color w:val="374151"/>
          <w:sz w:val="20"/>
          <w:szCs w:val="20"/>
        </w:rPr>
        <w:t xml:space="preserve">Use the Inbox page to manually record outage start and end events when automated email ingestion is not yet set up, or when you need to log an event after the fact.</w:t>
      </w:r>
    </w:p>
    <w:p>
      <w:pPr>
        <w:spacing w:after="160"/>
      </w:pPr>
    </w:p>
    <w:p>
      <w:pPr>
        <w:pStyle w:val="Heading2"/>
        <w:spacing w:after="120" w:before="320"/>
      </w:pPr>
      <w:r>
        <w:rPr>
          <w:b/>
          <w:bCs/>
          <w:color w:val="1E40AF"/>
          <w:sz w:val="26"/>
          <w:szCs w:val="26"/>
        </w:rPr>
        <w:t xml:space="preserve">6.1  Logging an Outage Start</w:t>
      </w:r>
    </w:p>
    <w:p>
      <w:pPr>
        <w:pStyle w:val="ListParagraph"/>
        <w:numPr>
          <w:ilvl w:val="0"/>
          <w:numId w:val="2"/>
        </w:numPr>
        <w:spacing w:after="80"/>
      </w:pPr>
      <w:r>
        <w:rPr>
          <w:color w:val="374151"/>
          <w:sz w:val="20"/>
          <w:szCs w:val="20"/>
        </w:rPr>
        <w:t xml:space="preserve">Click Inbox in the sidebar.</w:t>
      </w:r>
    </w:p>
    <w:p>
      <w:pPr>
        <w:pStyle w:val="ListParagraph"/>
        <w:numPr>
          <w:ilvl w:val="0"/>
          <w:numId w:val="2"/>
        </w:numPr>
        <w:spacing w:after="80"/>
      </w:pPr>
      <w:r>
        <w:rPr>
          <w:color w:val="374151"/>
          <w:sz w:val="20"/>
          <w:szCs w:val="20"/>
        </w:rPr>
        <w:t xml:space="preserve">Select the Bank from the Bank dropdown.</w:t>
      </w:r>
    </w:p>
    <w:p>
      <w:pPr>
        <w:pStyle w:val="ListParagraph"/>
        <w:numPr>
          <w:ilvl w:val="0"/>
          <w:numId w:val="2"/>
        </w:numPr>
        <w:spacing w:after="80"/>
      </w:pPr>
      <w:r>
        <w:rPr>
          <w:color w:val="374151"/>
          <w:sz w:val="20"/>
          <w:szCs w:val="20"/>
        </w:rPr>
        <w:t xml:space="preserve">Enter the Vendor name (must match the vendor in the SLA rule exactly).</w:t>
      </w:r>
    </w:p>
    <w:p>
      <w:pPr>
        <w:pStyle w:val="ListParagraph"/>
        <w:numPr>
          <w:ilvl w:val="0"/>
          <w:numId w:val="2"/>
        </w:numPr>
        <w:spacing w:after="80"/>
      </w:pPr>
      <w:r>
        <w:rPr>
          <w:color w:val="374151"/>
          <w:sz w:val="20"/>
          <w:szCs w:val="20"/>
        </w:rPr>
        <w:t xml:space="preserve">Enter the Product name (must match the product in the SLA rule exactly).</w:t>
      </w:r>
    </w:p>
    <w:p>
      <w:pPr>
        <w:pStyle w:val="ListParagraph"/>
        <w:numPr>
          <w:ilvl w:val="0"/>
          <w:numId w:val="2"/>
        </w:numPr>
        <w:spacing w:after="80"/>
      </w:pPr>
      <w:r>
        <w:rPr>
          <w:color w:val="374151"/>
          <w:sz w:val="20"/>
          <w:szCs w:val="20"/>
        </w:rPr>
        <w:t xml:space="preserve">Set Event Type to outage_start.</w:t>
      </w:r>
    </w:p>
    <w:p>
      <w:pPr>
        <w:pStyle w:val="ListParagraph"/>
        <w:numPr>
          <w:ilvl w:val="0"/>
          <w:numId w:val="2"/>
        </w:numPr>
        <w:spacing w:after="80"/>
      </w:pPr>
      <w:r>
        <w:rPr>
          <w:color w:val="374151"/>
          <w:sz w:val="20"/>
          <w:szCs w:val="20"/>
        </w:rPr>
        <w:t xml:space="preserve">Set the Timestamp to when the outage began. Defaults to now.</w:t>
      </w:r>
    </w:p>
    <w:p>
      <w:pPr>
        <w:pStyle w:val="ListParagraph"/>
        <w:numPr>
          <w:ilvl w:val="0"/>
          <w:numId w:val="2"/>
        </w:numPr>
        <w:spacing w:after="80"/>
      </w:pPr>
      <w:r>
        <w:rPr>
          <w:color w:val="374151"/>
          <w:sz w:val="20"/>
          <w:szCs w:val="20"/>
        </w:rPr>
        <w:t xml:space="preserve">Click Log Event.</w:t>
      </w:r>
    </w:p>
    <w:p>
      <w:pPr>
        <w:spacing w:after="160"/>
      </w:pPr>
    </w:p>
    <w:p>
      <w:pPr>
        <w:pBdr>
          <w:left w:val="single" w:color="D97706" w:sz="24"/>
        </w:pBdr>
        <w:shd w:fill="FFFBEB" w:val="clear"/>
        <w:spacing w:after="120" w:before="120"/>
        <w:ind w:left="360"/>
      </w:pPr>
      <w:r>
        <w:rPr>
          <w:color w:val="D97706"/>
          <w:sz w:val="19"/>
          <w:szCs w:val="19"/>
        </w:rPr>
        <w:t xml:space="preserve">⚠  Vendor and product names are case-sensitive and must exactly match the SLA rule. A mismatch means the system will not link the outage to any SLA and breach detection will not fire.</w:t>
      </w:r>
    </w:p>
    <w:p>
      <w:pPr>
        <w:spacing w:after="160"/>
      </w:pPr>
    </w:p>
    <w:p>
      <w:pPr>
        <w:pStyle w:val="Heading2"/>
        <w:spacing w:after="120" w:before="320"/>
      </w:pPr>
      <w:r>
        <w:rPr>
          <w:b/>
          <w:bCs/>
          <w:color w:val="1E40AF"/>
          <w:sz w:val="26"/>
          <w:szCs w:val="26"/>
        </w:rPr>
        <w:t xml:space="preserve">6.2  Logging an Outage End (Resolution)</w:t>
      </w:r>
    </w:p>
    <w:p>
      <w:pPr>
        <w:pStyle w:val="ListParagraph"/>
        <w:numPr>
          <w:ilvl w:val="0"/>
          <w:numId w:val="2"/>
        </w:numPr>
        <w:spacing w:after="80"/>
      </w:pPr>
      <w:r>
        <w:rPr>
          <w:color w:val="374151"/>
          <w:sz w:val="20"/>
          <w:szCs w:val="20"/>
        </w:rPr>
        <w:t xml:space="preserve">Repeat steps 1–5 above, but set Event Type to outage_end.</w:t>
      </w:r>
    </w:p>
    <w:p>
      <w:pPr>
        <w:pStyle w:val="ListParagraph"/>
        <w:numPr>
          <w:ilvl w:val="0"/>
          <w:numId w:val="2"/>
        </w:numPr>
        <w:spacing w:after="80"/>
      </w:pPr>
      <w:r>
        <w:rPr>
          <w:color w:val="374151"/>
          <w:sz w:val="20"/>
          <w:szCs w:val="20"/>
        </w:rPr>
        <w:t xml:space="preserve">Set the Timestamp to when the outage was resolved.</w:t>
      </w:r>
    </w:p>
    <w:p>
      <w:pPr>
        <w:pStyle w:val="ListParagraph"/>
        <w:numPr>
          <w:ilvl w:val="0"/>
          <w:numId w:val="2"/>
        </w:numPr>
        <w:spacing w:after="80"/>
      </w:pPr>
      <w:r>
        <w:rPr>
          <w:color w:val="374151"/>
          <w:sz w:val="20"/>
          <w:szCs w:val="20"/>
        </w:rPr>
        <w:t xml:space="preserve">Click Log Event.</w:t>
      </w:r>
    </w:p>
    <w:p>
      <w:pPr>
        <w:spacing w:after="160"/>
      </w:pPr>
    </w:p>
    <w:p>
      <w:pPr>
        <w:spacing w:after="120"/>
      </w:pPr>
      <w:r>
        <w:rPr>
          <w:color w:val="374151"/>
          <w:sz w:val="20"/>
          <w:szCs w:val="20"/>
        </w:rPr>
        <w:t xml:space="preserve">On receiving an outage_end event, the system automatically:</w:t>
      </w:r>
    </w:p>
    <w:p>
      <w:pPr>
        <w:pStyle w:val="ListParagraph"/>
        <w:numPr>
          <w:ilvl w:val="0"/>
          <w:numId w:val="1"/>
        </w:numPr>
        <w:spacing w:after="80"/>
      </w:pPr>
      <w:r>
        <w:rPr>
          <w:color w:val="374151"/>
          <w:sz w:val="20"/>
          <w:szCs w:val="20"/>
        </w:rPr>
        <w:t xml:space="preserve">Closes the open outage and calculates duration in minutes.</w:t>
      </w:r>
    </w:p>
    <w:p>
      <w:pPr>
        <w:pStyle w:val="ListParagraph"/>
        <w:numPr>
          <w:ilvl w:val="0"/>
          <w:numId w:val="1"/>
        </w:numPr>
        <w:spacing w:after="80"/>
      </w:pPr>
      <w:r>
        <w:rPr>
          <w:color w:val="374151"/>
          <w:sz w:val="20"/>
          <w:szCs w:val="20"/>
        </w:rPr>
        <w:t xml:space="preserve">Looks up the matching SLA rule.</w:t>
      </w:r>
    </w:p>
    <w:p>
      <w:pPr>
        <w:pStyle w:val="ListParagraph"/>
        <w:numPr>
          <w:ilvl w:val="0"/>
          <w:numId w:val="1"/>
        </w:numPr>
        <w:spacing w:after="80"/>
      </w:pPr>
      <w:r>
        <w:rPr>
          <w:color w:val="374151"/>
          <w:sz w:val="20"/>
          <w:szCs w:val="20"/>
        </w:rPr>
        <w:t xml:space="preserve">Computes cumulative downtime for the month.</w:t>
      </w:r>
    </w:p>
    <w:p>
      <w:pPr>
        <w:pStyle w:val="ListParagraph"/>
        <w:numPr>
          <w:ilvl w:val="0"/>
          <w:numId w:val="1"/>
        </w:numPr>
        <w:spacing w:after="80"/>
      </w:pPr>
      <w:r>
        <w:rPr>
          <w:color w:val="374151"/>
          <w:sz w:val="20"/>
          <w:szCs w:val="20"/>
        </w:rPr>
        <w:t xml:space="preserve">Sets breach_status to within or breached and calculates penalty_usd.</w:t>
      </w:r>
    </w:p>
    <w:p>
      <w:pPr>
        <w:spacing w:after="160"/>
      </w:pPr>
    </w:p>
    <w:p>
      <w:pPr>
        <w:pBdr>
          <w:left w:val="single" w:color="16A34A" w:sz="24"/>
        </w:pBdr>
        <w:shd w:fill="F0FDF4" w:val="clear"/>
        <w:spacing w:after="120" w:before="120"/>
        <w:ind w:left="360"/>
      </w:pPr>
      <w:r>
        <w:rPr>
          <w:color w:val="16A34A"/>
          <w:sz w:val="19"/>
          <w:szCs w:val="19"/>
        </w:rPr>
        <w:t xml:space="preserve">✓  After logging an end event, go to Breach Log to confirm the outage now shows a status and penalty amount.</w:t>
      </w:r>
    </w:p>
    <w:p>
      <w:r>
        <w:br w:type="page"/>
      </w:r>
    </w:p>
    <w:p>
      <w:pPr>
        <w:pStyle w:val="Heading1"/>
        <w:pBdr>
          <w:bottom w:val="single" w:color="1E40AF" w:sz="8"/>
        </w:pBdr>
        <w:spacing w:after="160" w:before="400"/>
      </w:pPr>
      <w:r>
        <w:rPr>
          <w:b/>
          <w:bCs/>
          <w:color w:val="1E3A8A"/>
          <w:sz w:val="32"/>
          <w:szCs w:val="32"/>
        </w:rPr>
        <w:t xml:space="preserve">7. Breach Log</w:t>
      </w:r>
    </w:p>
    <w:p>
      <w:pPr>
        <w:spacing w:after="120"/>
      </w:pPr>
      <w:r>
        <w:rPr>
          <w:color w:val="374151"/>
          <w:sz w:val="20"/>
          <w:szCs w:val="20"/>
        </w:rPr>
        <w:t xml:space="preserve">The Breach Log is a full-history table of every outage across all banks.</w:t>
      </w:r>
    </w:p>
    <w:p>
      <w:pPr>
        <w:spacing w:after="160"/>
      </w:pPr>
    </w:p>
    <w:p>
      <w:pPr>
        <w:pStyle w:val="Heading2"/>
        <w:spacing w:after="120" w:before="320"/>
      </w:pPr>
      <w:r>
        <w:rPr>
          <w:b/>
          <w:bCs/>
          <w:color w:val="1E40AF"/>
          <w:sz w:val="26"/>
          <w:szCs w:val="26"/>
        </w:rPr>
        <w:t xml:space="preserve">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0%"/>
            <w:shd w:fill="1E3A8A" w:val="clear"/>
            <w:tcMar>
              <w:top w:type="dxa" w:w="60"/>
              <w:left w:type="dxa" w:w="120"/>
              <w:bottom w:type="dxa" w:w="60"/>
              <w:right w:type="dxa" w:w="120"/>
            </w:tcMar>
          </w:tcPr>
          <w:p>
            <w:r>
              <w:rPr>
                <w:b/>
                <w:bCs/>
                <w:color w:val="FFFFFF"/>
                <w:sz w:val="18"/>
                <w:szCs w:val="18"/>
              </w:rPr>
              <w:t xml:space="preserve">Column</w:t>
            </w:r>
          </w:p>
        </w:tc>
        <w:tc>
          <w:tcPr>
            <w:tcW w:type="pct" w:w="80%"/>
            <w:shd w:fill="1E3A8A" w:val="clear"/>
            <w:tcMar>
              <w:top w:type="dxa" w:w="60"/>
              <w:left w:type="dxa" w:w="120"/>
              <w:bottom w:type="dxa" w:w="60"/>
              <w:right w:type="dxa" w:w="120"/>
            </w:tcMar>
          </w:tcPr>
          <w:p>
            <w:r>
              <w:rPr>
                <w:b/>
                <w:bCs/>
                <w:color w:val="FFFFFF"/>
                <w:sz w:val="18"/>
                <w:szCs w:val="18"/>
              </w:rPr>
              <w:t xml:space="preserve">Meaning</w:t>
            </w:r>
          </w:p>
        </w:tc>
      </w:tr>
      <w:tr>
        <w:trPr>
          <w:tblHeader w:val="false"/>
        </w:trPr>
        <w:tc>
          <w:tcPr>
            <w:tcW w:type="pct" w:w="20%"/>
            <w:tcMar>
              <w:top w:type="dxa" w:w="60"/>
              <w:left w:type="dxa" w:w="120"/>
              <w:bottom w:type="dxa" w:w="60"/>
              <w:right w:type="dxa" w:w="120"/>
            </w:tcMar>
          </w:tcPr>
          <w:p>
            <w:r>
              <w:rPr>
                <w:b w:val="false"/>
                <w:bCs w:val="false"/>
                <w:color w:val="374151"/>
                <w:sz w:val="18"/>
                <w:szCs w:val="18"/>
              </w:rPr>
              <w:t xml:space="preserve">Bank</w:t>
            </w:r>
          </w:p>
        </w:tc>
        <w:tc>
          <w:tcPr>
            <w:tcW w:type="pct" w:w="80%"/>
            <w:tcMar>
              <w:top w:type="dxa" w:w="60"/>
              <w:left w:type="dxa" w:w="120"/>
              <w:bottom w:type="dxa" w:w="60"/>
              <w:right w:type="dxa" w:w="120"/>
            </w:tcMar>
          </w:tcPr>
          <w:p>
            <w:r>
              <w:rPr>
                <w:b w:val="false"/>
                <w:bCs w:val="false"/>
                <w:color w:val="374151"/>
                <w:sz w:val="18"/>
                <w:szCs w:val="18"/>
              </w:rPr>
              <w:t xml:space="preserve">Which bank client this outage belongs to</w:t>
            </w:r>
          </w:p>
        </w:tc>
      </w:tr>
      <w:tr>
        <w:trPr>
          <w:tblHeader w:val="false"/>
        </w:trPr>
        <w:tc>
          <w:tcPr>
            <w:tcW w:type="pct" w:w="20%"/>
            <w:tcMar>
              <w:top w:type="dxa" w:w="60"/>
              <w:left w:type="dxa" w:w="120"/>
              <w:bottom w:type="dxa" w:w="60"/>
              <w:right w:type="dxa" w:w="120"/>
            </w:tcMar>
          </w:tcPr>
          <w:p>
            <w:r>
              <w:rPr>
                <w:b w:val="false"/>
                <w:bCs w:val="false"/>
                <w:color w:val="374151"/>
                <w:sz w:val="18"/>
                <w:szCs w:val="18"/>
              </w:rPr>
              <w:t xml:space="preserve">Vendor</w:t>
            </w:r>
          </w:p>
        </w:tc>
        <w:tc>
          <w:tcPr>
            <w:tcW w:type="pct" w:w="80%"/>
            <w:tcMar>
              <w:top w:type="dxa" w:w="60"/>
              <w:left w:type="dxa" w:w="120"/>
              <w:bottom w:type="dxa" w:w="60"/>
              <w:right w:type="dxa" w:w="120"/>
            </w:tcMar>
          </w:tcPr>
          <w:p>
            <w:r>
              <w:rPr>
                <w:b w:val="false"/>
                <w:bCs w:val="false"/>
                <w:color w:val="374151"/>
                <w:sz w:val="18"/>
                <w:szCs w:val="18"/>
              </w:rPr>
              <w:t xml:space="preserve">Fintech vendor responsible for the product</w:t>
            </w:r>
          </w:p>
        </w:tc>
      </w:tr>
      <w:tr>
        <w:trPr>
          <w:tblHeader w:val="false"/>
        </w:trPr>
        <w:tc>
          <w:tcPr>
            <w:tcW w:type="pct" w:w="20%"/>
            <w:tcMar>
              <w:top w:type="dxa" w:w="60"/>
              <w:left w:type="dxa" w:w="120"/>
              <w:bottom w:type="dxa" w:w="60"/>
              <w:right w:type="dxa" w:w="120"/>
            </w:tcMar>
          </w:tcPr>
          <w:p>
            <w:r>
              <w:rPr>
                <w:b w:val="false"/>
                <w:bCs w:val="false"/>
                <w:color w:val="374151"/>
                <w:sz w:val="18"/>
                <w:szCs w:val="18"/>
              </w:rPr>
              <w:t xml:space="preserve">Product</w:t>
            </w:r>
          </w:p>
        </w:tc>
        <w:tc>
          <w:tcPr>
            <w:tcW w:type="pct" w:w="80%"/>
            <w:tcMar>
              <w:top w:type="dxa" w:w="60"/>
              <w:left w:type="dxa" w:w="120"/>
              <w:bottom w:type="dxa" w:w="60"/>
              <w:right w:type="dxa" w:w="120"/>
            </w:tcMar>
          </w:tcPr>
          <w:p>
            <w:r>
              <w:rPr>
                <w:b w:val="false"/>
                <w:bCs w:val="false"/>
                <w:color w:val="374151"/>
                <w:sz w:val="18"/>
                <w:szCs w:val="18"/>
              </w:rPr>
              <w:t xml:space="preserve">Specific service that experienced the outage</w:t>
            </w:r>
          </w:p>
        </w:tc>
      </w:tr>
      <w:tr>
        <w:trPr>
          <w:tblHeader w:val="false"/>
        </w:trPr>
        <w:tc>
          <w:tcPr>
            <w:tcW w:type="pct" w:w="20%"/>
            <w:tcMar>
              <w:top w:type="dxa" w:w="60"/>
              <w:left w:type="dxa" w:w="120"/>
              <w:bottom w:type="dxa" w:w="60"/>
              <w:right w:type="dxa" w:w="120"/>
            </w:tcMar>
          </w:tcPr>
          <w:p>
            <w:r>
              <w:rPr>
                <w:b w:val="false"/>
                <w:bCs w:val="false"/>
                <w:color w:val="374151"/>
                <w:sz w:val="18"/>
                <w:szCs w:val="18"/>
              </w:rPr>
              <w:t xml:space="preserve">Start</w:t>
            </w:r>
          </w:p>
        </w:tc>
        <w:tc>
          <w:tcPr>
            <w:tcW w:type="pct" w:w="80%"/>
            <w:tcMar>
              <w:top w:type="dxa" w:w="60"/>
              <w:left w:type="dxa" w:w="120"/>
              <w:bottom w:type="dxa" w:w="60"/>
              <w:right w:type="dxa" w:w="120"/>
            </w:tcMar>
          </w:tcPr>
          <w:p>
            <w:r>
              <w:rPr>
                <w:b w:val="false"/>
                <w:bCs w:val="false"/>
                <w:color w:val="374151"/>
                <w:sz w:val="18"/>
                <w:szCs w:val="18"/>
              </w:rPr>
              <w:t xml:space="preserve">Timestamp when the outage began</w:t>
            </w:r>
          </w:p>
        </w:tc>
      </w:tr>
      <w:tr>
        <w:trPr>
          <w:tblHeader w:val="false"/>
        </w:trPr>
        <w:tc>
          <w:tcPr>
            <w:tcW w:type="pct" w:w="20%"/>
            <w:tcMar>
              <w:top w:type="dxa" w:w="60"/>
              <w:left w:type="dxa" w:w="120"/>
              <w:bottom w:type="dxa" w:w="60"/>
              <w:right w:type="dxa" w:w="120"/>
            </w:tcMar>
          </w:tcPr>
          <w:p>
            <w:r>
              <w:rPr>
                <w:b w:val="false"/>
                <w:bCs w:val="false"/>
                <w:color w:val="374151"/>
                <w:sz w:val="18"/>
                <w:szCs w:val="18"/>
              </w:rPr>
              <w:t xml:space="preserve">End</w:t>
            </w:r>
          </w:p>
        </w:tc>
        <w:tc>
          <w:tcPr>
            <w:tcW w:type="pct" w:w="80%"/>
            <w:tcMar>
              <w:top w:type="dxa" w:w="60"/>
              <w:left w:type="dxa" w:w="120"/>
              <w:bottom w:type="dxa" w:w="60"/>
              <w:right w:type="dxa" w:w="120"/>
            </w:tcMar>
          </w:tcPr>
          <w:p>
            <w:r>
              <w:rPr>
                <w:b w:val="false"/>
                <w:bCs w:val="false"/>
                <w:color w:val="374151"/>
                <w:sz w:val="18"/>
                <w:szCs w:val="18"/>
              </w:rPr>
              <w:t xml:space="preserve">Timestamp when it was resolved (— if still active)</w:t>
            </w:r>
          </w:p>
        </w:tc>
      </w:tr>
      <w:tr>
        <w:trPr>
          <w:tblHeader w:val="false"/>
        </w:trPr>
        <w:tc>
          <w:tcPr>
            <w:tcW w:type="pct" w:w="20%"/>
            <w:tcMar>
              <w:top w:type="dxa" w:w="60"/>
              <w:left w:type="dxa" w:w="120"/>
              <w:bottom w:type="dxa" w:w="60"/>
              <w:right w:type="dxa" w:w="120"/>
            </w:tcMar>
          </w:tcPr>
          <w:p>
            <w:r>
              <w:rPr>
                <w:b w:val="false"/>
                <w:bCs w:val="false"/>
                <w:color w:val="374151"/>
                <w:sz w:val="18"/>
                <w:szCs w:val="18"/>
              </w:rPr>
              <w:t xml:space="preserve">Duration</w:t>
            </w:r>
          </w:p>
        </w:tc>
        <w:tc>
          <w:tcPr>
            <w:tcW w:type="pct" w:w="80%"/>
            <w:tcMar>
              <w:top w:type="dxa" w:w="60"/>
              <w:left w:type="dxa" w:w="120"/>
              <w:bottom w:type="dxa" w:w="60"/>
              <w:right w:type="dxa" w:w="120"/>
            </w:tcMar>
          </w:tcPr>
          <w:p>
            <w:r>
              <w:rPr>
                <w:b w:val="false"/>
                <w:bCs w:val="false"/>
                <w:color w:val="374151"/>
                <w:sz w:val="18"/>
                <w:szCs w:val="18"/>
              </w:rPr>
              <w:t xml:space="preserve">Total downtime in hours and minutes</w:t>
            </w:r>
          </w:p>
        </w:tc>
      </w:tr>
      <w:tr>
        <w:trPr>
          <w:tblHeader w:val="false"/>
        </w:trPr>
        <w:tc>
          <w:tcPr>
            <w:tcW w:type="pct" w:w="20%"/>
            <w:tcMar>
              <w:top w:type="dxa" w:w="60"/>
              <w:left w:type="dxa" w:w="120"/>
              <w:bottom w:type="dxa" w:w="60"/>
              <w:right w:type="dxa" w:w="120"/>
            </w:tcMar>
          </w:tcPr>
          <w:p>
            <w:r>
              <w:rPr>
                <w:b w:val="false"/>
                <w:bCs w:val="false"/>
                <w:color w:val="374151"/>
                <w:sz w:val="18"/>
                <w:szCs w:val="18"/>
              </w:rPr>
              <w:t xml:space="preserve">Status</w:t>
            </w:r>
          </w:p>
        </w:tc>
        <w:tc>
          <w:tcPr>
            <w:tcW w:type="pct" w:w="80%"/>
            <w:tcMar>
              <w:top w:type="dxa" w:w="60"/>
              <w:left w:type="dxa" w:w="120"/>
              <w:bottom w:type="dxa" w:w="60"/>
              <w:right w:type="dxa" w:w="120"/>
            </w:tcMar>
          </w:tcPr>
          <w:p>
            <w:r>
              <w:rPr>
                <w:b w:val="false"/>
                <w:bCs w:val="false"/>
                <w:color w:val="374151"/>
                <w:sz w:val="18"/>
                <w:szCs w:val="18"/>
              </w:rPr>
              <w:t xml:space="preserve">ACTIVE (ongoing) · WITHIN · BREACHED · PENDING</w:t>
            </w:r>
          </w:p>
        </w:tc>
      </w:tr>
      <w:tr>
        <w:trPr>
          <w:tblHeader w:val="false"/>
        </w:trPr>
        <w:tc>
          <w:tcPr>
            <w:tcW w:type="pct" w:w="20%"/>
            <w:tcMar>
              <w:top w:type="dxa" w:w="60"/>
              <w:left w:type="dxa" w:w="120"/>
              <w:bottom w:type="dxa" w:w="60"/>
              <w:right w:type="dxa" w:w="120"/>
            </w:tcMar>
          </w:tcPr>
          <w:p>
            <w:r>
              <w:rPr>
                <w:b w:val="false"/>
                <w:bCs w:val="false"/>
                <w:color w:val="374151"/>
                <w:sz w:val="18"/>
                <w:szCs w:val="18"/>
              </w:rPr>
              <w:t xml:space="preserve">Penalty</w:t>
            </w:r>
          </w:p>
        </w:tc>
        <w:tc>
          <w:tcPr>
            <w:tcW w:type="pct" w:w="80%"/>
            <w:tcMar>
              <w:top w:type="dxa" w:w="60"/>
              <w:left w:type="dxa" w:w="120"/>
              <w:bottom w:type="dxa" w:w="60"/>
              <w:right w:type="dxa" w:w="120"/>
            </w:tcMar>
          </w:tcPr>
          <w:p>
            <w:r>
              <w:rPr>
                <w:b w:val="false"/>
                <w:bCs w:val="false"/>
                <w:color w:val="374151"/>
                <w:sz w:val="18"/>
                <w:szCs w:val="18"/>
              </w:rPr>
              <w:t xml:space="preserve">USD penalty owed (0.00 if within SLA)</w:t>
            </w:r>
          </w:p>
        </w:tc>
      </w:tr>
    </w:tbl>
    <w:p>
      <w:pPr>
        <w:spacing w:after="160"/>
      </w:pPr>
    </w:p>
    <w:p>
      <w:pPr>
        <w:pStyle w:val="Heading2"/>
        <w:spacing w:after="120" w:before="320"/>
      </w:pPr>
      <w:r>
        <w:rPr>
          <w:b/>
          <w:bCs/>
          <w:color w:val="1E40AF"/>
          <w:sz w:val="26"/>
          <w:szCs w:val="26"/>
        </w:rPr>
        <w:t xml:space="preserve">Status Meanings</w:t>
      </w:r>
    </w:p>
    <w:p>
      <w:pPr>
        <w:pStyle w:val="ListParagraph"/>
        <w:numPr>
          <w:ilvl w:val="0"/>
          <w:numId w:val="1"/>
        </w:numPr>
        <w:spacing w:after="80"/>
      </w:pPr>
      <w:r>
        <w:rPr>
          <w:b/>
          <w:bCs/>
          <w:color w:val="111827"/>
          <w:sz w:val="20"/>
          <w:szCs w:val="20"/>
        </w:rPr>
        <w:t xml:space="preserve">ACTIVE: </w:t>
      </w:r>
      <w:r>
        <w:rPr>
          <w:color w:val="374151"/>
          <w:sz w:val="20"/>
          <w:szCs w:val="20"/>
        </w:rPr>
        <w:t xml:space="preserve">Outage has started but not yet resolved.</w:t>
      </w:r>
    </w:p>
    <w:p>
      <w:pPr>
        <w:pStyle w:val="ListParagraph"/>
        <w:numPr>
          <w:ilvl w:val="0"/>
          <w:numId w:val="1"/>
        </w:numPr>
        <w:spacing w:after="80"/>
      </w:pPr>
      <w:r>
        <w:rPr>
          <w:b/>
          <w:bCs/>
          <w:color w:val="111827"/>
          <w:sz w:val="20"/>
          <w:szCs w:val="20"/>
        </w:rPr>
        <w:t xml:space="preserve">WITHIN: </w:t>
      </w:r>
      <w:r>
        <w:rPr>
          <w:color w:val="374151"/>
          <w:sz w:val="20"/>
          <w:szCs w:val="20"/>
        </w:rPr>
        <w:t xml:space="preserve">Resolved and cumulative downtime is within the allowed SLA threshold.</w:t>
      </w:r>
    </w:p>
    <w:p>
      <w:pPr>
        <w:pStyle w:val="ListParagraph"/>
        <w:numPr>
          <w:ilvl w:val="0"/>
          <w:numId w:val="1"/>
        </w:numPr>
        <w:spacing w:after="80"/>
      </w:pPr>
      <w:r>
        <w:rPr>
          <w:b/>
          <w:bCs/>
          <w:color w:val="111827"/>
          <w:sz w:val="20"/>
          <w:szCs w:val="20"/>
        </w:rPr>
        <w:t xml:space="preserve">BREACHED: </w:t>
      </w:r>
      <w:r>
        <w:rPr>
          <w:color w:val="374151"/>
          <w:sz w:val="20"/>
          <w:szCs w:val="20"/>
        </w:rPr>
        <w:t xml:space="preserve">Resolved and cumulative downtime exceeds the SLA. A penalty applies.</w:t>
      </w:r>
    </w:p>
    <w:p>
      <w:pPr>
        <w:pStyle w:val="ListParagraph"/>
        <w:numPr>
          <w:ilvl w:val="0"/>
          <w:numId w:val="1"/>
        </w:numPr>
        <w:spacing w:after="80"/>
      </w:pPr>
      <w:r>
        <w:rPr>
          <w:b/>
          <w:bCs/>
          <w:color w:val="111827"/>
          <w:sz w:val="20"/>
          <w:szCs w:val="20"/>
        </w:rPr>
        <w:t xml:space="preserve">PENDING: </w:t>
      </w:r>
      <w:r>
        <w:rPr>
          <w:color w:val="374151"/>
          <w:sz w:val="20"/>
          <w:szCs w:val="20"/>
        </w:rPr>
        <w:t xml:space="preserve">No matching SLA rule was found — breach cannot be determined.</w:t>
      </w:r>
    </w:p>
    <w:p>
      <w:r>
        <w:br w:type="page"/>
      </w:r>
    </w:p>
    <w:p>
      <w:pPr>
        <w:pStyle w:val="Heading1"/>
        <w:pBdr>
          <w:bottom w:val="single" w:color="1E40AF" w:sz="8"/>
        </w:pBdr>
        <w:spacing w:after="160" w:before="400"/>
      </w:pPr>
      <w:r>
        <w:rPr>
          <w:b/>
          <w:bCs/>
          <w:color w:val="1E3A8A"/>
          <w:sz w:val="32"/>
          <w:szCs w:val="32"/>
        </w:rPr>
        <w:t xml:space="preserve">8. Report Generation</w:t>
      </w:r>
    </w:p>
    <w:p>
      <w:pPr>
        <w:spacing w:after="120"/>
      </w:pPr>
      <w:r>
        <w:rPr>
          <w:color w:val="374151"/>
          <w:sz w:val="20"/>
          <w:szCs w:val="20"/>
        </w:rPr>
        <w:t xml:space="preserve">The Report page uses AI to generate a professional SLA breach report narrative for a specific bank, vendor, and month.</w:t>
      </w:r>
    </w:p>
    <w:p>
      <w:pPr>
        <w:spacing w:after="160"/>
      </w:pPr>
    </w:p>
    <w:p>
      <w:pPr>
        <w:pStyle w:val="Heading2"/>
        <w:spacing w:after="120" w:before="320"/>
      </w:pPr>
      <w:r>
        <w:rPr>
          <w:b/>
          <w:bCs/>
          <w:color w:val="1E40AF"/>
          <w:sz w:val="26"/>
          <w:szCs w:val="26"/>
        </w:rPr>
        <w:t xml:space="preserve">8.1  Generating a Report</w:t>
      </w:r>
    </w:p>
    <w:p>
      <w:pPr>
        <w:pStyle w:val="ListParagraph"/>
        <w:numPr>
          <w:ilvl w:val="0"/>
          <w:numId w:val="2"/>
        </w:numPr>
        <w:spacing w:after="80"/>
      </w:pPr>
      <w:r>
        <w:rPr>
          <w:color w:val="374151"/>
          <w:sz w:val="20"/>
          <w:szCs w:val="20"/>
        </w:rPr>
        <w:t xml:space="preserve">Click Report in the sidebar.</w:t>
      </w:r>
    </w:p>
    <w:p>
      <w:pPr>
        <w:pStyle w:val="ListParagraph"/>
        <w:numPr>
          <w:ilvl w:val="0"/>
          <w:numId w:val="2"/>
        </w:numPr>
        <w:spacing w:after="80"/>
      </w:pPr>
      <w:r>
        <w:rPr>
          <w:color w:val="374151"/>
          <w:sz w:val="20"/>
          <w:szCs w:val="20"/>
        </w:rPr>
        <w:t xml:space="preserve">Select the Bank.</w:t>
      </w:r>
    </w:p>
    <w:p>
      <w:pPr>
        <w:pStyle w:val="ListParagraph"/>
        <w:numPr>
          <w:ilvl w:val="0"/>
          <w:numId w:val="2"/>
        </w:numPr>
        <w:spacing w:after="80"/>
      </w:pPr>
      <w:r>
        <w:rPr>
          <w:color w:val="374151"/>
          <w:sz w:val="20"/>
          <w:szCs w:val="20"/>
        </w:rPr>
        <w:t xml:space="preserve">Select the Vendor from the dropdown (only vendors with SLA rules for that bank are shown).</w:t>
      </w:r>
    </w:p>
    <w:p>
      <w:pPr>
        <w:pStyle w:val="ListParagraph"/>
        <w:numPr>
          <w:ilvl w:val="0"/>
          <w:numId w:val="2"/>
        </w:numPr>
        <w:spacing w:after="80"/>
      </w:pPr>
      <w:r>
        <w:rPr>
          <w:color w:val="374151"/>
          <w:sz w:val="20"/>
          <w:szCs w:val="20"/>
        </w:rPr>
        <w:t xml:space="preserve">Select the Month and Year.</w:t>
      </w:r>
    </w:p>
    <w:p>
      <w:pPr>
        <w:pStyle w:val="ListParagraph"/>
        <w:numPr>
          <w:ilvl w:val="0"/>
          <w:numId w:val="2"/>
        </w:numPr>
        <w:spacing w:after="80"/>
      </w:pPr>
      <w:r>
        <w:rPr>
          <w:color w:val="374151"/>
          <w:sz w:val="20"/>
          <w:szCs w:val="20"/>
        </w:rPr>
        <w:t xml:space="preserve">Click Generate Report.</w:t>
      </w:r>
    </w:p>
    <w:p>
      <w:pPr>
        <w:pStyle w:val="ListParagraph"/>
        <w:numPr>
          <w:ilvl w:val="0"/>
          <w:numId w:val="2"/>
        </w:numPr>
        <w:spacing w:after="80"/>
      </w:pPr>
      <w:r>
        <w:rPr>
          <w:color w:val="374151"/>
          <w:sz w:val="20"/>
          <w:szCs w:val="20"/>
        </w:rPr>
        <w:t xml:space="preserve">The AI-generated report appears on screen. Review it for accuracy.</w:t>
      </w:r>
    </w:p>
    <w:p>
      <w:pPr>
        <w:pStyle w:val="ListParagraph"/>
        <w:numPr>
          <w:ilvl w:val="0"/>
          <w:numId w:val="2"/>
        </w:numPr>
        <w:spacing w:after="80"/>
      </w:pPr>
      <w:r>
        <w:rPr>
          <w:color w:val="374151"/>
          <w:sz w:val="20"/>
          <w:szCs w:val="20"/>
        </w:rPr>
        <w:t xml:space="preserve">Use your browser's print function (Ctrl+P / Cmd+P) to save as PDF or print.</w:t>
      </w:r>
    </w:p>
    <w:p>
      <w:pPr>
        <w:spacing w:after="160"/>
      </w:pPr>
    </w:p>
    <w:p>
      <w:pPr>
        <w:pBdr>
          <w:left w:val="single" w:color="1D4ED8" w:sz="24"/>
        </w:pBdr>
        <w:shd w:fill="EFF6FF" w:val="clear"/>
        <w:spacing w:after="120" w:before="120"/>
        <w:ind w:left="360"/>
      </w:pPr>
      <w:r>
        <w:rPr>
          <w:color w:val="1D4ED8"/>
          <w:sz w:val="19"/>
          <w:szCs w:val="19"/>
        </w:rPr>
        <w:t xml:space="preserve">ℹ  The report includes breach status, downtime duration, penalty amounts, and a professional narrative summarising the vendor's SLA performance for the selected month. It is addressed from Impact FI Advisors to the bank.</w:t>
      </w:r>
    </w:p>
    <w:p>
      <w:pPr>
        <w:spacing w:after="160"/>
      </w:pPr>
    </w:p>
    <w:p>
      <w:pPr>
        <w:pBdr>
          <w:left w:val="single" w:color="16A34A" w:sz="24"/>
        </w:pBdr>
        <w:shd w:fill="F0FDF4" w:val="clear"/>
        <w:spacing w:after="120" w:before="120"/>
        <w:ind w:left="360"/>
      </w:pPr>
      <w:r>
        <w:rPr>
          <w:color w:val="16A34A"/>
          <w:sz w:val="19"/>
          <w:szCs w:val="19"/>
        </w:rPr>
        <w:t xml:space="preserve">✓  Share the PDF with the bank contact and/or the fintech vendor as part of your monthly reporting process.</w:t>
      </w:r>
    </w:p>
    <w:p>
      <w:r>
        <w:br w:type="page"/>
      </w:r>
    </w:p>
    <w:p>
      <w:pPr>
        <w:pStyle w:val="Heading1"/>
        <w:pBdr>
          <w:bottom w:val="single" w:color="1E40AF" w:sz="8"/>
        </w:pBdr>
        <w:spacing w:after="160" w:before="400"/>
      </w:pPr>
      <w:r>
        <w:rPr>
          <w:b/>
          <w:bCs/>
          <w:color w:val="1E3A8A"/>
          <w:sz w:val="32"/>
          <w:szCs w:val="32"/>
        </w:rPr>
        <w:t xml:space="preserve">9. Email Configuration</w:t>
      </w:r>
    </w:p>
    <w:p>
      <w:pPr>
        <w:spacing w:after="120"/>
      </w:pPr>
      <w:r>
        <w:rPr>
          <w:color w:val="374151"/>
          <w:sz w:val="20"/>
          <w:szCs w:val="20"/>
        </w:rPr>
        <w:t xml:space="preserve">The system can automatically ingest outage events from inbound emails sent to the Impact FI Advisors SLA mailbox. This removes the need for manual event logging.</w:t>
      </w:r>
    </w:p>
    <w:p>
      <w:pPr>
        <w:spacing w:after="160"/>
      </w:pPr>
    </w:p>
    <w:p>
      <w:pPr>
        <w:pStyle w:val="Heading2"/>
        <w:spacing w:after="120" w:before="320"/>
      </w:pPr>
      <w:r>
        <w:rPr>
          <w:b/>
          <w:bCs/>
          <w:color w:val="1E40AF"/>
          <w:sz w:val="26"/>
          <w:szCs w:val="26"/>
        </w:rPr>
        <w:t xml:space="preserve">9.1  How Email Routing Works</w:t>
      </w:r>
    </w:p>
    <w:p>
      <w:pPr>
        <w:spacing w:after="120"/>
      </w:pPr>
      <w:r>
        <w:rPr>
          <w:color w:val="374151"/>
          <w:sz w:val="20"/>
          <w:szCs w:val="20"/>
        </w:rPr>
        <w:t xml:space="preserve">Each bank has an email alias (set on the Banks page). The corresponding inbound address is:</w:t>
      </w:r>
    </w:p>
    <w:p>
      <w:pPr>
        <w:spacing w:after="120" w:before="120"/>
        <w:jc w:val="center"/>
      </w:pPr>
      <w:r>
        <w:rPr>
          <w:rFonts w:ascii="Courier New" w:cs="Courier New" w:eastAsia="Courier New" w:hAnsi="Courier New"/>
          <w:color w:val="1E40AF"/>
          <w:sz w:val="18"/>
          <w:szCs w:val="18"/>
        </w:rPr>
        <w:t xml:space="preserve">sla+{alias}@impactfiadvisors.com</w:t>
      </w:r>
    </w:p>
    <w:p>
      <w:pPr>
        <w:spacing w:after="120"/>
      </w:pPr>
      <w:r>
        <w:rPr>
          <w:color w:val="374151"/>
          <w:sz w:val="20"/>
          <w:szCs w:val="20"/>
        </w:rPr>
        <w:t xml:space="preserve">For example, if the alias is firstnational, the address is sla+firstnational@impactfiadvisors.com.</w:t>
      </w:r>
    </w:p>
    <w:p>
      <w:pPr>
        <w:spacing w:after="120"/>
      </w:pPr>
      <w:r>
        <w:rPr>
          <w:color w:val="374151"/>
          <w:sz w:val="20"/>
          <w:szCs w:val="20"/>
        </w:rPr>
        <w:t xml:space="preserve">When a vendor sends a service notification to that address, the system:</w:t>
      </w:r>
    </w:p>
    <w:p>
      <w:pPr>
        <w:pStyle w:val="ListParagraph"/>
        <w:numPr>
          <w:ilvl w:val="0"/>
          <w:numId w:val="2"/>
        </w:numPr>
        <w:spacing w:after="80"/>
      </w:pPr>
      <w:r>
        <w:rPr>
          <w:color w:val="374151"/>
          <w:sz w:val="20"/>
          <w:szCs w:val="20"/>
        </w:rPr>
        <w:t xml:space="preserve">Polls the IMAP mailbox for new messages.</w:t>
      </w:r>
    </w:p>
    <w:p>
      <w:pPr>
        <w:pStyle w:val="ListParagraph"/>
        <w:numPr>
          <w:ilvl w:val="0"/>
          <w:numId w:val="2"/>
        </w:numPr>
        <w:spacing w:after="80"/>
      </w:pPr>
      <w:r>
        <w:rPr>
          <w:color w:val="374151"/>
          <w:sz w:val="20"/>
          <w:szCs w:val="20"/>
        </w:rPr>
        <w:t xml:space="preserve">Extracts the bank from the +alias portion of the TO address.</w:t>
      </w:r>
    </w:p>
    <w:p>
      <w:pPr>
        <w:pStyle w:val="ListParagraph"/>
        <w:numPr>
          <w:ilvl w:val="0"/>
          <w:numId w:val="2"/>
        </w:numPr>
        <w:spacing w:after="80"/>
      </w:pPr>
      <w:r>
        <w:rPr>
          <w:color w:val="374151"/>
          <w:sz w:val="20"/>
          <w:szCs w:val="20"/>
        </w:rPr>
        <w:t xml:space="preserve">Passes the email body to AI to identify vendor, product, and event type.</w:t>
      </w:r>
    </w:p>
    <w:p>
      <w:pPr>
        <w:pStyle w:val="ListParagraph"/>
        <w:numPr>
          <w:ilvl w:val="0"/>
          <w:numId w:val="2"/>
        </w:numPr>
        <w:spacing w:after="80"/>
      </w:pPr>
      <w:r>
        <w:rPr>
          <w:color w:val="374151"/>
          <w:sz w:val="20"/>
          <w:szCs w:val="20"/>
        </w:rPr>
        <w:t xml:space="preserve">Creates the appropriate outage start or end event automatically.</w:t>
      </w:r>
    </w:p>
    <w:p>
      <w:pPr>
        <w:spacing w:after="160"/>
      </w:pPr>
    </w:p>
    <w:p>
      <w:pPr>
        <w:pBdr>
          <w:left w:val="single" w:color="16A34A" w:sz="24"/>
        </w:pBdr>
        <w:shd w:fill="F0FDF4" w:val="clear"/>
        <w:spacing w:after="120" w:before="120"/>
        <w:ind w:left="360"/>
      </w:pPr>
      <w:r>
        <w:rPr>
          <w:color w:val="16A34A"/>
          <w:sz w:val="19"/>
          <w:szCs w:val="19"/>
        </w:rPr>
        <w:t xml:space="preserve">✓  Ask the fintech vendor's support team to copy sla+{alias}@impactfiadvisors.com on all incident notifications. Most vendors support BCC lists on their status update emails.</w:t>
      </w:r>
    </w:p>
    <w:p>
      <w:pPr>
        <w:spacing w:after="160"/>
      </w:pPr>
    </w:p>
    <w:p>
      <w:pPr>
        <w:pStyle w:val="Heading2"/>
        <w:spacing w:after="120" w:before="320"/>
      </w:pPr>
      <w:r>
        <w:rPr>
          <w:b/>
          <w:bCs/>
          <w:color w:val="1E40AF"/>
          <w:sz w:val="26"/>
          <w:szCs w:val="26"/>
        </w:rPr>
        <w:t xml:space="preserve">9.2  Adding an IMAP Account</w:t>
      </w:r>
    </w:p>
    <w:p>
      <w:pPr>
        <w:pStyle w:val="ListParagraph"/>
        <w:numPr>
          <w:ilvl w:val="0"/>
          <w:numId w:val="2"/>
        </w:numPr>
        <w:spacing w:after="80"/>
      </w:pPr>
      <w:r>
        <w:rPr>
          <w:color w:val="374151"/>
          <w:sz w:val="20"/>
          <w:szCs w:val="20"/>
        </w:rPr>
        <w:t xml:space="preserve">Click Email Config in the sidebar.</w:t>
      </w:r>
    </w:p>
    <w:p>
      <w:pPr>
        <w:pStyle w:val="ListParagraph"/>
        <w:numPr>
          <w:ilvl w:val="0"/>
          <w:numId w:val="2"/>
        </w:numPr>
        <w:spacing w:after="80"/>
      </w:pPr>
      <w:r>
        <w:rPr>
          <w:color w:val="374151"/>
          <w:sz w:val="20"/>
          <w:szCs w:val="20"/>
        </w:rPr>
        <w:t xml:space="preserve">Click Add Email Account.</w:t>
      </w:r>
    </w:p>
    <w:p>
      <w:pPr>
        <w:pStyle w:val="ListParagraph"/>
        <w:numPr>
          <w:ilvl w:val="0"/>
          <w:numId w:val="2"/>
        </w:numPr>
        <w:spacing w:after="80"/>
      </w:pPr>
      <w:r>
        <w:rPr>
          <w:color w:val="374151"/>
          <w:sz w:val="20"/>
          <w:szCs w:val="20"/>
        </w:rPr>
        <w:t xml:space="preserve">Fill in the IMAP host, port, username, and password.</w:t>
      </w:r>
    </w:p>
    <w:p>
      <w:pPr>
        <w:pStyle w:val="ListParagraph"/>
        <w:numPr>
          <w:ilvl w:val="0"/>
          <w:numId w:val="2"/>
        </w:numPr>
        <w:spacing w:after="80"/>
      </w:pPr>
      <w:r>
        <w:rPr>
          <w:color w:val="374151"/>
          <w:sz w:val="20"/>
          <w:szCs w:val="20"/>
        </w:rPr>
        <w:t xml:space="preserve">Click Test Connection to verify credentials.</w:t>
      </w:r>
    </w:p>
    <w:p>
      <w:pPr>
        <w:pStyle w:val="ListParagraph"/>
        <w:numPr>
          <w:ilvl w:val="0"/>
          <w:numId w:val="2"/>
        </w:numPr>
        <w:spacing w:after="80"/>
      </w:pPr>
      <w:r>
        <w:rPr>
          <w:color w:val="374151"/>
          <w:sz w:val="20"/>
          <w:szCs w:val="20"/>
        </w:rPr>
        <w:t xml:space="preserve">Click Save.</w:t>
      </w:r>
    </w:p>
    <w:p>
      <w:pPr>
        <w:spacing w:after="160"/>
      </w:pPr>
    </w:p>
    <w:p>
      <w:pPr>
        <w:pBdr>
          <w:left w:val="single" w:color="D97706" w:sz="24"/>
        </w:pBdr>
        <w:shd w:fill="FFFBEB" w:val="clear"/>
        <w:spacing w:after="120" w:before="120"/>
        <w:ind w:left="360"/>
      </w:pPr>
      <w:r>
        <w:rPr>
          <w:color w:val="D97706"/>
          <w:sz w:val="19"/>
          <w:szCs w:val="19"/>
        </w:rPr>
        <w:t xml:space="preserve">⚠  Credentials are stored encrypted. Never share them. If the IMAP password changes, update the account here immediately.</w:t>
      </w:r>
    </w:p>
    <w:p>
      <w:pPr>
        <w:spacing w:after="160"/>
      </w:pPr>
    </w:p>
    <w:p>
      <w:pPr>
        <w:pStyle w:val="Heading2"/>
        <w:spacing w:after="120" w:before="320"/>
      </w:pPr>
      <w:r>
        <w:rPr>
          <w:b/>
          <w:bCs/>
          <w:color w:val="1E40AF"/>
          <w:sz w:val="26"/>
          <w:szCs w:val="26"/>
        </w:rPr>
        <w:t xml:space="preserve">9.3  Polling Log</w:t>
      </w:r>
    </w:p>
    <w:p>
      <w:pPr>
        <w:spacing w:after="120"/>
      </w:pPr>
      <w:r>
        <w:rPr>
          <w:color w:val="374151"/>
          <w:sz w:val="20"/>
          <w:szCs w:val="20"/>
        </w:rPr>
        <w:t xml:space="preserve">Click Email Config › Poll Log to see a history of every email polling attempt, including which messages were processed and any errors.</w:t>
      </w:r>
    </w:p>
    <w:p>
      <w:r>
        <w:br w:type="page"/>
      </w:r>
    </w:p>
    <w:p>
      <w:pPr>
        <w:pStyle w:val="Heading1"/>
        <w:pBdr>
          <w:bottom w:val="single" w:color="1E40AF" w:sz="8"/>
        </w:pBdr>
        <w:spacing w:after="160" w:before="400"/>
      </w:pPr>
      <w:r>
        <w:rPr>
          <w:b/>
          <w:bCs/>
          <w:color w:val="1E3A8A"/>
          <w:sz w:val="32"/>
          <w:szCs w:val="32"/>
        </w:rPr>
        <w:t xml:space="preserve">10. Products Catalog</w:t>
      </w:r>
    </w:p>
    <w:p>
      <w:pPr>
        <w:spacing w:after="120"/>
      </w:pPr>
      <w:r>
        <w:rPr>
          <w:color w:val="374151"/>
          <w:sz w:val="20"/>
          <w:szCs w:val="20"/>
        </w:rPr>
        <w:t xml:space="preserve">The Products page is an optional catalog of vendor products with category classifications. It is used as a reference — adding products here does not automatically create SLA rules.</w:t>
      </w:r>
    </w:p>
    <w:p>
      <w:pPr>
        <w:spacing w:after="160"/>
      </w:pPr>
    </w:p>
    <w:p>
      <w:pPr>
        <w:pStyle w:val="Heading2"/>
        <w:spacing w:after="120" w:before="320"/>
      </w:pPr>
      <w:r>
        <w:rPr>
          <w:b/>
          <w:bCs/>
          <w:color w:val="1E40AF"/>
          <w:sz w:val="26"/>
          <w:szCs w:val="26"/>
        </w:rPr>
        <w:t xml:space="preserve">Adding a Product</w:t>
      </w:r>
    </w:p>
    <w:p>
      <w:pPr>
        <w:pStyle w:val="ListParagraph"/>
        <w:numPr>
          <w:ilvl w:val="0"/>
          <w:numId w:val="2"/>
        </w:numPr>
        <w:spacing w:after="80"/>
      </w:pPr>
      <w:r>
        <w:rPr>
          <w:color w:val="374151"/>
          <w:sz w:val="20"/>
          <w:szCs w:val="20"/>
        </w:rPr>
        <w:t xml:space="preserve">Click Products in the sidebar.</w:t>
      </w:r>
    </w:p>
    <w:p>
      <w:pPr>
        <w:pStyle w:val="ListParagraph"/>
        <w:numPr>
          <w:ilvl w:val="0"/>
          <w:numId w:val="2"/>
        </w:numPr>
        <w:spacing w:after="80"/>
      </w:pPr>
      <w:r>
        <w:rPr>
          <w:color w:val="374151"/>
          <w:sz w:val="20"/>
          <w:szCs w:val="20"/>
        </w:rPr>
        <w:t xml:space="preserve">Enter the Vendor name (e.g. Jack Henry).</w:t>
      </w:r>
    </w:p>
    <w:p>
      <w:pPr>
        <w:pStyle w:val="ListParagraph"/>
        <w:numPr>
          <w:ilvl w:val="0"/>
          <w:numId w:val="2"/>
        </w:numPr>
        <w:spacing w:after="80"/>
      </w:pPr>
      <w:r>
        <w:rPr>
          <w:color w:val="374151"/>
          <w:sz w:val="20"/>
          <w:szCs w:val="20"/>
        </w:rPr>
        <w:t xml:space="preserve">Enter the Product name (e.g. Silverlake Core).</w:t>
      </w:r>
    </w:p>
    <w:p>
      <w:pPr>
        <w:pStyle w:val="ListParagraph"/>
        <w:numPr>
          <w:ilvl w:val="0"/>
          <w:numId w:val="2"/>
        </w:numPr>
        <w:spacing w:after="80"/>
      </w:pPr>
      <w:r>
        <w:rPr>
          <w:color w:val="374151"/>
          <w:sz w:val="20"/>
          <w:szCs w:val="20"/>
        </w:rPr>
        <w:t xml:space="preserve">Select a Category: Core, Mobile, Web, API, or Other.</w:t>
      </w:r>
    </w:p>
    <w:p>
      <w:pPr>
        <w:pStyle w:val="ListParagraph"/>
        <w:numPr>
          <w:ilvl w:val="0"/>
          <w:numId w:val="2"/>
        </w:numPr>
        <w:spacing w:after="80"/>
      </w:pPr>
      <w:r>
        <w:rPr>
          <w:color w:val="374151"/>
          <w:sz w:val="20"/>
          <w:szCs w:val="20"/>
        </w:rPr>
        <w:t xml:space="preserve">Click Add Product.</w:t>
      </w:r>
    </w:p>
    <w:p>
      <w:r>
        <w:br w:type="page"/>
      </w:r>
    </w:p>
    <w:p>
      <w:pPr>
        <w:pStyle w:val="Heading1"/>
        <w:pBdr>
          <w:bottom w:val="single" w:color="1E40AF" w:sz="8"/>
        </w:pBdr>
        <w:spacing w:after="160" w:before="400"/>
      </w:pPr>
      <w:r>
        <w:rPr>
          <w:b/>
          <w:bCs/>
          <w:color w:val="1E3A8A"/>
          <w:sz w:val="32"/>
          <w:szCs w:val="32"/>
        </w:rPr>
        <w:t xml:space="preserve">11. Onboarding a New Bank — Step-by-Step</w:t>
      </w:r>
    </w:p>
    <w:p>
      <w:pPr>
        <w:spacing w:after="120"/>
      </w:pPr>
      <w:r>
        <w:rPr>
          <w:color w:val="374151"/>
          <w:sz w:val="20"/>
          <w:szCs w:val="20"/>
        </w:rPr>
        <w:t xml:space="preserve">Follow this checklist when a new bank client starts with Impact FI Advisors.</w:t>
      </w:r>
    </w:p>
    <w:p>
      <w:pPr>
        <w:spacing w:after="160"/>
      </w:pPr>
    </w:p>
    <w:p>
      <w:pPr>
        <w:pStyle w:val="Heading2"/>
        <w:spacing w:after="120" w:before="320"/>
      </w:pPr>
      <w:r>
        <w:rPr>
          <w:b/>
          <w:bCs/>
          <w:color w:val="1E40AF"/>
          <w:sz w:val="26"/>
          <w:szCs w:val="26"/>
        </w:rPr>
        <w:t xml:space="preserve">Step 1 — Register the Bank</w:t>
      </w:r>
    </w:p>
    <w:p>
      <w:pPr>
        <w:pStyle w:val="ListParagraph"/>
        <w:numPr>
          <w:ilvl w:val="0"/>
          <w:numId w:val="2"/>
        </w:numPr>
        <w:spacing w:after="80"/>
      </w:pPr>
      <w:r>
        <w:rPr>
          <w:color w:val="374151"/>
          <w:sz w:val="20"/>
          <w:szCs w:val="20"/>
        </w:rPr>
        <w:t xml:space="preserve">Go to Banks → click Add Bank.</w:t>
      </w:r>
    </w:p>
    <w:p>
      <w:pPr>
        <w:pStyle w:val="ListParagraph"/>
        <w:numPr>
          <w:ilvl w:val="0"/>
          <w:numId w:val="2"/>
        </w:numPr>
        <w:spacing w:after="80"/>
      </w:pPr>
      <w:r>
        <w:rPr>
          <w:color w:val="374151"/>
          <w:sz w:val="20"/>
          <w:szCs w:val="20"/>
        </w:rPr>
        <w:t xml:space="preserve">Enter the full bank name and choose a short email alias (lowercase, no spaces).</w:t>
      </w:r>
    </w:p>
    <w:p>
      <w:pPr>
        <w:pStyle w:val="ListParagraph"/>
        <w:numPr>
          <w:ilvl w:val="0"/>
          <w:numId w:val="2"/>
        </w:numPr>
        <w:spacing w:after="80"/>
      </w:pPr>
      <w:r>
        <w:rPr>
          <w:color w:val="374151"/>
          <w:sz w:val="20"/>
          <w:szCs w:val="20"/>
        </w:rPr>
        <w:t xml:space="preserve">Click Save Bank.</w:t>
      </w:r>
    </w:p>
    <w:p>
      <w:pPr>
        <w:spacing w:after="160"/>
      </w:pPr>
    </w:p>
    <w:p>
      <w:pPr>
        <w:pBdr>
          <w:left w:val="single" w:color="16A34A" w:sz="24"/>
        </w:pBdr>
        <w:shd w:fill="F0FDF4" w:val="clear"/>
        <w:spacing w:after="120" w:before="120"/>
        <w:ind w:left="360"/>
      </w:pPr>
      <w:r>
        <w:rPr>
          <w:color w:val="16A34A"/>
          <w:sz w:val="19"/>
          <w:szCs w:val="19"/>
        </w:rPr>
        <w:t xml:space="preserve">✓  Use a consistent alias pattern, e.g. firstnational, rivercity, coastalbank.</w:t>
      </w:r>
    </w:p>
    <w:p>
      <w:pPr>
        <w:spacing w:after="160"/>
      </w:pPr>
    </w:p>
    <w:p>
      <w:pPr>
        <w:pStyle w:val="Heading2"/>
        <w:spacing w:after="120" w:before="320"/>
      </w:pPr>
      <w:r>
        <w:rPr>
          <w:b/>
          <w:bCs/>
          <w:color w:val="1E40AF"/>
          <w:sz w:val="26"/>
          <w:szCs w:val="26"/>
        </w:rPr>
        <w:t xml:space="preserve">Step 2 — Add SLA Rules</w:t>
      </w:r>
    </w:p>
    <w:p>
      <w:pPr>
        <w:pStyle w:val="ListParagraph"/>
        <w:numPr>
          <w:ilvl w:val="0"/>
          <w:numId w:val="2"/>
        </w:numPr>
        <w:spacing w:after="80"/>
      </w:pPr>
      <w:r>
        <w:rPr>
          <w:color w:val="374151"/>
          <w:sz w:val="20"/>
          <w:szCs w:val="20"/>
        </w:rPr>
        <w:t xml:space="preserve">Go to SLA Config.</w:t>
      </w:r>
    </w:p>
    <w:p>
      <w:pPr>
        <w:pStyle w:val="ListParagraph"/>
        <w:numPr>
          <w:ilvl w:val="0"/>
          <w:numId w:val="2"/>
        </w:numPr>
        <w:spacing w:after="80"/>
      </w:pPr>
      <w:r>
        <w:rPr>
          <w:color w:val="374151"/>
          <w:sz w:val="20"/>
          <w:szCs w:val="20"/>
        </w:rPr>
        <w:t xml:space="preserve">Select the newly added bank from the Bank dropdown.</w:t>
      </w:r>
    </w:p>
    <w:p>
      <w:pPr>
        <w:pStyle w:val="ListParagraph"/>
        <w:numPr>
          <w:ilvl w:val="0"/>
          <w:numId w:val="2"/>
        </w:numPr>
        <w:spacing w:after="80"/>
      </w:pPr>
      <w:r>
        <w:rPr>
          <w:color w:val="374151"/>
          <w:sz w:val="20"/>
          <w:szCs w:val="20"/>
        </w:rPr>
        <w:t xml:space="preserve">For each vendor+product the bank uses, add a rule with the agreed uptime % and penalty per hour.</w:t>
      </w:r>
    </w:p>
    <w:p>
      <w:pPr>
        <w:pStyle w:val="ListParagraph"/>
        <w:numPr>
          <w:ilvl w:val="0"/>
          <w:numId w:val="2"/>
        </w:numPr>
        <w:spacing w:after="80"/>
      </w:pPr>
      <w:r>
        <w:rPr>
          <w:color w:val="374151"/>
          <w:sz w:val="20"/>
          <w:szCs w:val="20"/>
        </w:rPr>
        <w:t xml:space="preserve">Repeat until all covered products have rules.</w:t>
      </w:r>
    </w:p>
    <w:p>
      <w:pPr>
        <w:spacing w:after="160"/>
      </w:pPr>
    </w:p>
    <w:p>
      <w:pPr>
        <w:pBdr>
          <w:left w:val="single" w:color="1D4ED8" w:sz="24"/>
        </w:pBdr>
        <w:shd w:fill="EFF6FF" w:val="clear"/>
        <w:spacing w:after="120" w:before="120"/>
        <w:ind w:left="360"/>
      </w:pPr>
      <w:r>
        <w:rPr>
          <w:color w:val="1D4ED8"/>
          <w:sz w:val="19"/>
          <w:szCs w:val="19"/>
        </w:rPr>
        <w:t xml:space="preserve">ℹ  SLA rules should match the contractual SLA between the bank and each fintech vendor. Get these figures from the vendor contracts or the bank's procurement team.</w:t>
      </w:r>
    </w:p>
    <w:p>
      <w:pPr>
        <w:spacing w:after="160"/>
      </w:pPr>
    </w:p>
    <w:p>
      <w:pPr>
        <w:pStyle w:val="Heading2"/>
        <w:spacing w:after="120" w:before="320"/>
      </w:pPr>
      <w:r>
        <w:rPr>
          <w:b/>
          <w:bCs/>
          <w:color w:val="1E40AF"/>
          <w:sz w:val="26"/>
          <w:szCs w:val="26"/>
        </w:rPr>
        <w:t xml:space="preserve">Step 3 — Share the Portal Link</w:t>
      </w:r>
    </w:p>
    <w:p>
      <w:pPr>
        <w:pStyle w:val="ListParagraph"/>
        <w:numPr>
          <w:ilvl w:val="0"/>
          <w:numId w:val="2"/>
        </w:numPr>
        <w:spacing w:after="80"/>
      </w:pPr>
      <w:r>
        <w:rPr>
          <w:color w:val="374151"/>
          <w:sz w:val="20"/>
          <w:szCs w:val="20"/>
        </w:rPr>
        <w:t xml:space="preserve">Go to Banks.</w:t>
      </w:r>
    </w:p>
    <w:p>
      <w:pPr>
        <w:pStyle w:val="ListParagraph"/>
        <w:numPr>
          <w:ilvl w:val="0"/>
          <w:numId w:val="2"/>
        </w:numPr>
        <w:spacing w:after="80"/>
      </w:pPr>
      <w:r>
        <w:rPr>
          <w:color w:val="374151"/>
          <w:sz w:val="20"/>
          <w:szCs w:val="20"/>
        </w:rPr>
        <w:t xml:space="preserve">Find the bank row and click the copy icon next to Portal Link.</w:t>
      </w:r>
    </w:p>
    <w:p>
      <w:pPr>
        <w:pStyle w:val="ListParagraph"/>
        <w:numPr>
          <w:ilvl w:val="0"/>
          <w:numId w:val="2"/>
        </w:numPr>
        <w:spacing w:after="80"/>
      </w:pPr>
      <w:r>
        <w:rPr>
          <w:color w:val="374151"/>
          <w:sz w:val="20"/>
          <w:szCs w:val="20"/>
        </w:rPr>
        <w:t xml:space="preserve">Email the link to the bank's designated contact (e.g. the bank's VP of Technology).</w:t>
      </w:r>
    </w:p>
    <w:p>
      <w:pPr>
        <w:pStyle w:val="ListParagraph"/>
        <w:numPr>
          <w:ilvl w:val="0"/>
          <w:numId w:val="2"/>
        </w:numPr>
        <w:spacing w:after="80"/>
      </w:pPr>
      <w:r>
        <w:rPr>
          <w:color w:val="374151"/>
          <w:sz w:val="20"/>
          <w:szCs w:val="20"/>
        </w:rPr>
        <w:t xml:space="preserve">Let them know the portal is read-only and always shows live data.</w:t>
      </w:r>
    </w:p>
    <w:p>
      <w:pPr>
        <w:spacing w:after="160"/>
      </w:pPr>
    </w:p>
    <w:p>
      <w:pPr>
        <w:pStyle w:val="Heading2"/>
        <w:spacing w:after="120" w:before="320"/>
      </w:pPr>
      <w:r>
        <w:rPr>
          <w:b/>
          <w:bCs/>
          <w:color w:val="1E40AF"/>
          <w:sz w:val="26"/>
          <w:szCs w:val="26"/>
        </w:rPr>
        <w:t xml:space="preserve">Step 4 — Set Up Email Routing (Optional but Recommended)</w:t>
      </w:r>
    </w:p>
    <w:p>
      <w:pPr>
        <w:pStyle w:val="ListParagraph"/>
        <w:numPr>
          <w:ilvl w:val="0"/>
          <w:numId w:val="2"/>
        </w:numPr>
        <w:spacing w:after="80"/>
      </w:pPr>
      <w:r>
        <w:rPr>
          <w:color w:val="374151"/>
          <w:sz w:val="20"/>
          <w:szCs w:val="20"/>
        </w:rPr>
        <w:t xml:space="preserve">Determine the inbound email address: sla+{alias}@impactfiadvisors.com.</w:t>
      </w:r>
    </w:p>
    <w:p>
      <w:pPr>
        <w:pStyle w:val="ListParagraph"/>
        <w:numPr>
          <w:ilvl w:val="0"/>
          <w:numId w:val="2"/>
        </w:numPr>
        <w:spacing w:after="80"/>
      </w:pPr>
      <w:r>
        <w:rPr>
          <w:color w:val="374151"/>
          <w:sz w:val="20"/>
          <w:szCs w:val="20"/>
        </w:rPr>
        <w:t xml:space="preserve">Contact each fintech vendor and ask them to add this address to their incident notification list.</w:t>
      </w:r>
    </w:p>
    <w:p>
      <w:pPr>
        <w:pStyle w:val="ListParagraph"/>
        <w:numPr>
          <w:ilvl w:val="0"/>
          <w:numId w:val="2"/>
        </w:numPr>
        <w:spacing w:after="80"/>
      </w:pPr>
      <w:r>
        <w:rPr>
          <w:color w:val="374151"/>
          <w:sz w:val="20"/>
          <w:szCs w:val="20"/>
        </w:rPr>
        <w:t xml:space="preserve">Verify by sending a test email and checking the Poll Log.</w:t>
      </w:r>
    </w:p>
    <w:p>
      <w:pPr>
        <w:spacing w:after="160"/>
      </w:pPr>
    </w:p>
    <w:p>
      <w:pPr>
        <w:pStyle w:val="Heading2"/>
        <w:spacing w:after="120" w:before="320"/>
      </w:pPr>
      <w:r>
        <w:rPr>
          <w:b/>
          <w:bCs/>
          <w:color w:val="1E40AF"/>
          <w:sz w:val="26"/>
          <w:szCs w:val="26"/>
        </w:rPr>
        <w:t xml:space="preserve">Step 5 — Log the First Outage (Test)</w:t>
      </w:r>
    </w:p>
    <w:p>
      <w:pPr>
        <w:pStyle w:val="ListParagraph"/>
        <w:numPr>
          <w:ilvl w:val="0"/>
          <w:numId w:val="2"/>
        </w:numPr>
        <w:spacing w:after="80"/>
      </w:pPr>
      <w:r>
        <w:rPr>
          <w:color w:val="374151"/>
          <w:sz w:val="20"/>
          <w:szCs w:val="20"/>
        </w:rPr>
        <w:t xml:space="preserve">Go to Inbox.</w:t>
      </w:r>
    </w:p>
    <w:p>
      <w:pPr>
        <w:pStyle w:val="ListParagraph"/>
        <w:numPr>
          <w:ilvl w:val="0"/>
          <w:numId w:val="2"/>
        </w:numPr>
        <w:spacing w:after="80"/>
      </w:pPr>
      <w:r>
        <w:rPr>
          <w:color w:val="374151"/>
          <w:sz w:val="20"/>
          <w:szCs w:val="20"/>
        </w:rPr>
        <w:t xml:space="preserve">Select the bank, enter a known vendor+product, set event type to outage_start.</w:t>
      </w:r>
    </w:p>
    <w:p>
      <w:pPr>
        <w:pStyle w:val="ListParagraph"/>
        <w:numPr>
          <w:ilvl w:val="0"/>
          <w:numId w:val="2"/>
        </w:numPr>
        <w:spacing w:after="80"/>
      </w:pPr>
      <w:r>
        <w:rPr>
          <w:color w:val="374151"/>
          <w:sz w:val="20"/>
          <w:szCs w:val="20"/>
        </w:rPr>
        <w:t xml:space="preserve">Log it, then immediately log an outage_end with a 10-minute difference.</w:t>
      </w:r>
    </w:p>
    <w:p>
      <w:pPr>
        <w:pStyle w:val="ListParagraph"/>
        <w:numPr>
          <w:ilvl w:val="0"/>
          <w:numId w:val="2"/>
        </w:numPr>
        <w:spacing w:after="80"/>
      </w:pPr>
      <w:r>
        <w:rPr>
          <w:color w:val="374151"/>
          <w:sz w:val="20"/>
          <w:szCs w:val="20"/>
        </w:rPr>
        <w:t xml:space="preserve">Go to Breach Log and confirm the outage appears with status WITHIN.</w:t>
      </w:r>
    </w:p>
    <w:p>
      <w:pPr>
        <w:pStyle w:val="ListParagraph"/>
        <w:numPr>
          <w:ilvl w:val="0"/>
          <w:numId w:val="2"/>
        </w:numPr>
        <w:spacing w:after="80"/>
      </w:pPr>
      <w:r>
        <w:rPr>
          <w:color w:val="374151"/>
          <w:sz w:val="20"/>
          <w:szCs w:val="20"/>
        </w:rPr>
        <w:t xml:space="preserve">Go to the portal link and confirm the bank can see the outage.</w:t>
      </w:r>
    </w:p>
    <w:p>
      <w:pPr>
        <w:spacing w:after="160"/>
      </w:pPr>
    </w:p>
    <w:p>
      <w:pPr>
        <w:pBdr>
          <w:left w:val="single" w:color="16A34A" w:sz="24"/>
        </w:pBdr>
        <w:shd w:fill="F0FDF4" w:val="clear"/>
        <w:spacing w:after="120" w:before="120"/>
        <w:ind w:left="360"/>
      </w:pPr>
      <w:r>
        <w:rPr>
          <w:color w:val="16A34A"/>
          <w:sz w:val="19"/>
          <w:szCs w:val="19"/>
        </w:rPr>
        <w:t xml:space="preserve">✓  Run this test before giving the portal link to the bank. It confirms the entire pipeline is working.</w:t>
      </w:r>
    </w:p>
    <w:p>
      <w:r>
        <w:br w:type="page"/>
      </w:r>
    </w:p>
    <w:p>
      <w:pPr>
        <w:pStyle w:val="Heading1"/>
        <w:pBdr>
          <w:bottom w:val="single" w:color="1E40AF" w:sz="8"/>
        </w:pBdr>
        <w:spacing w:after="160" w:before="400"/>
      </w:pPr>
      <w:r>
        <w:rPr>
          <w:b/>
          <w:bCs/>
          <w:color w:val="1E3A8A"/>
          <w:sz w:val="32"/>
          <w:szCs w:val="32"/>
        </w:rPr>
        <w:t xml:space="preserve">12. Understanding the Bank Portal</w:t>
      </w:r>
    </w:p>
    <w:p>
      <w:pPr>
        <w:spacing w:after="120"/>
      </w:pPr>
      <w:r>
        <w:rPr>
          <w:color w:val="374151"/>
          <w:sz w:val="20"/>
          <w:szCs w:val="20"/>
        </w:rPr>
        <w:t xml:space="preserve">The portal is what your bank clients see. It is read-only and requires no login.</w:t>
      </w:r>
    </w:p>
    <w:p>
      <w:pPr>
        <w:spacing w:after="160"/>
      </w:pPr>
    </w:p>
    <w:p>
      <w:pPr>
        <w:pStyle w:val="Heading2"/>
        <w:spacing w:after="120" w:before="320"/>
      </w:pPr>
      <w:r>
        <w:rPr>
          <w:b/>
          <w:bCs/>
          <w:color w:val="1E40AF"/>
          <w:sz w:val="26"/>
          <w:szCs w:val="26"/>
        </w:rPr>
        <w:t xml:space="preserve">Portal Sections</w:t>
      </w:r>
    </w:p>
    <w:p>
      <w:pPr>
        <w:pStyle w:val="ListParagraph"/>
        <w:numPr>
          <w:ilvl w:val="0"/>
          <w:numId w:val="1"/>
        </w:numPr>
        <w:spacing w:after="80"/>
      </w:pPr>
      <w:r>
        <w:rPr>
          <w:b/>
          <w:bCs/>
          <w:color w:val="111827"/>
          <w:sz w:val="20"/>
          <w:szCs w:val="20"/>
        </w:rPr>
        <w:t xml:space="preserve">Summary Cards: </w:t>
      </w:r>
      <w:r>
        <w:rPr>
          <w:color w:val="374151"/>
          <w:sz w:val="20"/>
          <w:szCs w:val="20"/>
        </w:rPr>
        <w:t xml:space="preserve">Active outages, total penalties this month, breach count, within-SLA count.</w:t>
      </w:r>
    </w:p>
    <w:p>
      <w:pPr>
        <w:pStyle w:val="ListParagraph"/>
        <w:numPr>
          <w:ilvl w:val="0"/>
          <w:numId w:val="1"/>
        </w:numPr>
        <w:spacing w:after="80"/>
      </w:pPr>
      <w:r>
        <w:rPr>
          <w:b/>
          <w:bCs/>
          <w:color w:val="111827"/>
          <w:sz w:val="20"/>
          <w:szCs w:val="20"/>
        </w:rPr>
        <w:t xml:space="preserve">SLA Agreements: </w:t>
      </w:r>
      <w:r>
        <w:rPr>
          <w:color w:val="374151"/>
          <w:sz w:val="20"/>
          <w:szCs w:val="20"/>
        </w:rPr>
        <w:t xml:space="preserve">All SLA rules configured for the bank — uptime % and penalty per hour.</w:t>
      </w:r>
    </w:p>
    <w:p>
      <w:pPr>
        <w:pStyle w:val="ListParagraph"/>
        <w:numPr>
          <w:ilvl w:val="0"/>
          <w:numId w:val="1"/>
        </w:numPr>
        <w:spacing w:after="80"/>
      </w:pPr>
      <w:r>
        <w:rPr>
          <w:b/>
          <w:bCs/>
          <w:color w:val="111827"/>
          <w:sz w:val="20"/>
          <w:szCs w:val="20"/>
        </w:rPr>
        <w:t xml:space="preserve">Outage History: </w:t>
      </w:r>
      <w:r>
        <w:rPr>
          <w:color w:val="374151"/>
          <w:sz w:val="20"/>
          <w:szCs w:val="20"/>
        </w:rPr>
        <w:t xml:space="preserve">Filterable table (All / Active / Breached / Within) with full detail.</w:t>
      </w:r>
    </w:p>
    <w:p>
      <w:pPr>
        <w:spacing w:after="160"/>
      </w:pPr>
    </w:p>
    <w:p>
      <w:pPr>
        <w:spacing w:after="120"/>
      </w:pPr>
      <w:r>
        <w:rPr>
          <w:color w:val="374151"/>
          <w:sz w:val="20"/>
          <w:szCs w:val="20"/>
        </w:rPr>
        <w:t xml:space="preserve">The portal shows the last 12 months of data. Banks cannot edit anything or access other banks' data.</w:t>
      </w:r>
    </w:p>
    <w:p>
      <w:pPr>
        <w:pBdr>
          <w:left w:val="single" w:color="D97706" w:sz="24"/>
        </w:pBdr>
        <w:shd w:fill="FFFBEB" w:val="clear"/>
        <w:spacing w:after="120" w:before="120"/>
        <w:ind w:left="360"/>
      </w:pPr>
      <w:r>
        <w:rPr>
          <w:color w:val="D97706"/>
          <w:sz w:val="19"/>
          <w:szCs w:val="19"/>
        </w:rPr>
        <w:t xml:space="preserve">⚠  The portal URL contains a secret token. Treat it like a password — do not post it publicly.</w:t>
      </w:r>
    </w:p>
    <w:p>
      <w:r>
        <w:br w:type="page"/>
      </w:r>
    </w:p>
    <w:p>
      <w:pPr>
        <w:pStyle w:val="Heading1"/>
        <w:pBdr>
          <w:bottom w:val="single" w:color="1E40AF" w:sz="8"/>
        </w:pBdr>
        <w:spacing w:after="160" w:before="400"/>
      </w:pPr>
      <w:r>
        <w:rPr>
          <w:b/>
          <w:bCs/>
          <w:color w:val="1E3A8A"/>
          <w:sz w:val="32"/>
          <w:szCs w:val="32"/>
        </w:rPr>
        <w:t xml:space="preserve">13. Quick Reference — Common Tasks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1E3A8A" w:val="clear"/>
            <w:tcMar>
              <w:top w:type="dxa" w:w="60"/>
              <w:left w:type="dxa" w:w="120"/>
              <w:bottom w:type="dxa" w:w="60"/>
              <w:right w:type="dxa" w:w="120"/>
            </w:tcMar>
          </w:tcPr>
          <w:p>
            <w:r>
              <w:rPr>
                <w:b/>
                <w:bCs/>
                <w:color w:val="FFFFFF"/>
                <w:sz w:val="18"/>
                <w:szCs w:val="18"/>
              </w:rPr>
              <w:t xml:space="preserve">Task</w:t>
            </w:r>
          </w:p>
        </w:tc>
        <w:tc>
          <w:tcPr>
            <w:tcW w:type="pct" w:w="60%"/>
            <w:shd w:fill="1E3A8A" w:val="clear"/>
            <w:tcMar>
              <w:top w:type="dxa" w:w="60"/>
              <w:left w:type="dxa" w:w="120"/>
              <w:bottom w:type="dxa" w:w="60"/>
              <w:right w:type="dxa" w:w="120"/>
            </w:tcMar>
          </w:tcPr>
          <w:p>
            <w:r>
              <w:rPr>
                <w:b/>
                <w:bCs/>
                <w:color w:val="FFFFFF"/>
                <w:sz w:val="18"/>
                <w:szCs w:val="18"/>
              </w:rPr>
              <w:t xml:space="preserve">Where to go</w:t>
            </w:r>
          </w:p>
        </w:tc>
      </w:tr>
      <w:tr>
        <w:trPr>
          <w:tblHeader w:val="false"/>
        </w:trPr>
        <w:tc>
          <w:tcPr>
            <w:tcW w:type="pct" w:w="40%"/>
            <w:tcMar>
              <w:top w:type="dxa" w:w="60"/>
              <w:left w:type="dxa" w:w="120"/>
              <w:bottom w:type="dxa" w:w="60"/>
              <w:right w:type="dxa" w:w="120"/>
            </w:tcMar>
          </w:tcPr>
          <w:p>
            <w:r>
              <w:rPr>
                <w:b w:val="false"/>
                <w:bCs w:val="false"/>
                <w:color w:val="374151"/>
                <w:sz w:val="18"/>
                <w:szCs w:val="18"/>
              </w:rPr>
              <w:t xml:space="preserve">Add a new bank</w:t>
            </w:r>
          </w:p>
        </w:tc>
        <w:tc>
          <w:tcPr>
            <w:tcW w:type="pct" w:w="60%"/>
            <w:tcMar>
              <w:top w:type="dxa" w:w="60"/>
              <w:left w:type="dxa" w:w="120"/>
              <w:bottom w:type="dxa" w:w="60"/>
              <w:right w:type="dxa" w:w="120"/>
            </w:tcMar>
          </w:tcPr>
          <w:p>
            <w:r>
              <w:rPr>
                <w:b w:val="false"/>
                <w:bCs w:val="false"/>
                <w:color w:val="374151"/>
                <w:sz w:val="18"/>
                <w:szCs w:val="18"/>
              </w:rPr>
              <w:t xml:space="preserve">Banks → Add Bank</w:t>
            </w:r>
          </w:p>
        </w:tc>
      </w:tr>
      <w:tr>
        <w:trPr>
          <w:tblHeader w:val="false"/>
        </w:trPr>
        <w:tc>
          <w:tcPr>
            <w:tcW w:type="pct" w:w="40%"/>
            <w:tcMar>
              <w:top w:type="dxa" w:w="60"/>
              <w:left w:type="dxa" w:w="120"/>
              <w:bottom w:type="dxa" w:w="60"/>
              <w:right w:type="dxa" w:w="120"/>
            </w:tcMar>
          </w:tcPr>
          <w:p>
            <w:r>
              <w:rPr>
                <w:b w:val="false"/>
                <w:bCs w:val="false"/>
                <w:color w:val="374151"/>
                <w:sz w:val="18"/>
                <w:szCs w:val="18"/>
              </w:rPr>
              <w:t xml:space="preserve">Share a bank's portal link</w:t>
            </w:r>
          </w:p>
        </w:tc>
        <w:tc>
          <w:tcPr>
            <w:tcW w:type="pct" w:w="60%"/>
            <w:tcMar>
              <w:top w:type="dxa" w:w="60"/>
              <w:left w:type="dxa" w:w="120"/>
              <w:bottom w:type="dxa" w:w="60"/>
              <w:right w:type="dxa" w:w="120"/>
            </w:tcMar>
          </w:tcPr>
          <w:p>
            <w:r>
              <w:rPr>
                <w:b w:val="false"/>
                <w:bCs w:val="false"/>
                <w:color w:val="374151"/>
                <w:sz w:val="18"/>
                <w:szCs w:val="18"/>
              </w:rPr>
              <w:t xml:space="preserve">Banks → copy Portal Link icon</w:t>
            </w:r>
          </w:p>
        </w:tc>
      </w:tr>
      <w:tr>
        <w:trPr>
          <w:tblHeader w:val="false"/>
        </w:trPr>
        <w:tc>
          <w:tcPr>
            <w:tcW w:type="pct" w:w="40%"/>
            <w:tcMar>
              <w:top w:type="dxa" w:w="60"/>
              <w:left w:type="dxa" w:w="120"/>
              <w:bottom w:type="dxa" w:w="60"/>
              <w:right w:type="dxa" w:w="120"/>
            </w:tcMar>
          </w:tcPr>
          <w:p>
            <w:r>
              <w:rPr>
                <w:b w:val="false"/>
                <w:bCs w:val="false"/>
                <w:color w:val="374151"/>
                <w:sz w:val="18"/>
                <w:szCs w:val="18"/>
              </w:rPr>
              <w:t xml:space="preserve">Reset a portal link</w:t>
            </w:r>
          </w:p>
        </w:tc>
        <w:tc>
          <w:tcPr>
            <w:tcW w:type="pct" w:w="60%"/>
            <w:tcMar>
              <w:top w:type="dxa" w:w="60"/>
              <w:left w:type="dxa" w:w="120"/>
              <w:bottom w:type="dxa" w:w="60"/>
              <w:right w:type="dxa" w:w="120"/>
            </w:tcMar>
          </w:tcPr>
          <w:p>
            <w:r>
              <w:rPr>
                <w:b w:val="false"/>
                <w:bCs w:val="false"/>
                <w:color w:val="374151"/>
                <w:sz w:val="18"/>
                <w:szCs w:val="18"/>
              </w:rPr>
              <w:t xml:space="preserve">Banks → refresh icon → confirm</w:t>
            </w:r>
          </w:p>
        </w:tc>
      </w:tr>
      <w:tr>
        <w:trPr>
          <w:tblHeader w:val="false"/>
        </w:trPr>
        <w:tc>
          <w:tcPr>
            <w:tcW w:type="pct" w:w="40%"/>
            <w:tcMar>
              <w:top w:type="dxa" w:w="60"/>
              <w:left w:type="dxa" w:w="120"/>
              <w:bottom w:type="dxa" w:w="60"/>
              <w:right w:type="dxa" w:w="120"/>
            </w:tcMar>
          </w:tcPr>
          <w:p>
            <w:r>
              <w:rPr>
                <w:b w:val="false"/>
                <w:bCs w:val="false"/>
                <w:color w:val="374151"/>
                <w:sz w:val="18"/>
                <w:szCs w:val="18"/>
              </w:rPr>
              <w:t xml:space="preserve">Add an SLA rule</w:t>
            </w:r>
          </w:p>
        </w:tc>
        <w:tc>
          <w:tcPr>
            <w:tcW w:type="pct" w:w="60%"/>
            <w:tcMar>
              <w:top w:type="dxa" w:w="60"/>
              <w:left w:type="dxa" w:w="120"/>
              <w:bottom w:type="dxa" w:w="60"/>
              <w:right w:type="dxa" w:w="120"/>
            </w:tcMar>
          </w:tcPr>
          <w:p>
            <w:r>
              <w:rPr>
                <w:b w:val="false"/>
                <w:bCs w:val="false"/>
                <w:color w:val="374151"/>
                <w:sz w:val="18"/>
                <w:szCs w:val="18"/>
              </w:rPr>
              <w:t xml:space="preserve">SLA Config → select bank → fill form</w:t>
            </w:r>
          </w:p>
        </w:tc>
      </w:tr>
      <w:tr>
        <w:trPr>
          <w:tblHeader w:val="false"/>
        </w:trPr>
        <w:tc>
          <w:tcPr>
            <w:tcW w:type="pct" w:w="40%"/>
            <w:tcMar>
              <w:top w:type="dxa" w:w="60"/>
              <w:left w:type="dxa" w:w="120"/>
              <w:bottom w:type="dxa" w:w="60"/>
              <w:right w:type="dxa" w:w="120"/>
            </w:tcMar>
          </w:tcPr>
          <w:p>
            <w:r>
              <w:rPr>
                <w:b w:val="false"/>
                <w:bCs w:val="false"/>
                <w:color w:val="374151"/>
                <w:sz w:val="18"/>
                <w:szCs w:val="18"/>
              </w:rPr>
              <w:t xml:space="preserve">Record an outage start</w:t>
            </w:r>
          </w:p>
        </w:tc>
        <w:tc>
          <w:tcPr>
            <w:tcW w:type="pct" w:w="60%"/>
            <w:tcMar>
              <w:top w:type="dxa" w:w="60"/>
              <w:left w:type="dxa" w:w="120"/>
              <w:bottom w:type="dxa" w:w="60"/>
              <w:right w:type="dxa" w:w="120"/>
            </w:tcMar>
          </w:tcPr>
          <w:p>
            <w:r>
              <w:rPr>
                <w:b w:val="false"/>
                <w:bCs w:val="false"/>
                <w:color w:val="374151"/>
                <w:sz w:val="18"/>
                <w:szCs w:val="18"/>
              </w:rPr>
              <w:t xml:space="preserve">Inbox → select bank → outage_start</w:t>
            </w:r>
          </w:p>
        </w:tc>
      </w:tr>
      <w:tr>
        <w:trPr>
          <w:tblHeader w:val="false"/>
        </w:trPr>
        <w:tc>
          <w:tcPr>
            <w:tcW w:type="pct" w:w="40%"/>
            <w:tcMar>
              <w:top w:type="dxa" w:w="60"/>
              <w:left w:type="dxa" w:w="120"/>
              <w:bottom w:type="dxa" w:w="60"/>
              <w:right w:type="dxa" w:w="120"/>
            </w:tcMar>
          </w:tcPr>
          <w:p>
            <w:r>
              <w:rPr>
                <w:b w:val="false"/>
                <w:bCs w:val="false"/>
                <w:color w:val="374151"/>
                <w:sz w:val="18"/>
                <w:szCs w:val="18"/>
              </w:rPr>
              <w:t xml:space="preserve">Record an outage end</w:t>
            </w:r>
          </w:p>
        </w:tc>
        <w:tc>
          <w:tcPr>
            <w:tcW w:type="pct" w:w="60%"/>
            <w:tcMar>
              <w:top w:type="dxa" w:w="60"/>
              <w:left w:type="dxa" w:w="120"/>
              <w:bottom w:type="dxa" w:w="60"/>
              <w:right w:type="dxa" w:w="120"/>
            </w:tcMar>
          </w:tcPr>
          <w:p>
            <w:r>
              <w:rPr>
                <w:b w:val="false"/>
                <w:bCs w:val="false"/>
                <w:color w:val="374151"/>
                <w:sz w:val="18"/>
                <w:szCs w:val="18"/>
              </w:rPr>
              <w:t xml:space="preserve">Inbox → select bank → outage_end</w:t>
            </w:r>
          </w:p>
        </w:tc>
      </w:tr>
      <w:tr>
        <w:trPr>
          <w:tblHeader w:val="false"/>
        </w:trPr>
        <w:tc>
          <w:tcPr>
            <w:tcW w:type="pct" w:w="40%"/>
            <w:tcMar>
              <w:top w:type="dxa" w:w="60"/>
              <w:left w:type="dxa" w:w="120"/>
              <w:bottom w:type="dxa" w:w="60"/>
              <w:right w:type="dxa" w:w="120"/>
            </w:tcMar>
          </w:tcPr>
          <w:p>
            <w:r>
              <w:rPr>
                <w:b w:val="false"/>
                <w:bCs w:val="false"/>
                <w:color w:val="374151"/>
                <w:sz w:val="18"/>
                <w:szCs w:val="18"/>
              </w:rPr>
              <w:t xml:space="preserve">View all outages</w:t>
            </w:r>
          </w:p>
        </w:tc>
        <w:tc>
          <w:tcPr>
            <w:tcW w:type="pct" w:w="60%"/>
            <w:tcMar>
              <w:top w:type="dxa" w:w="60"/>
              <w:left w:type="dxa" w:w="120"/>
              <w:bottom w:type="dxa" w:w="60"/>
              <w:right w:type="dxa" w:w="120"/>
            </w:tcMar>
          </w:tcPr>
          <w:p>
            <w:r>
              <w:rPr>
                <w:b w:val="false"/>
                <w:bCs w:val="false"/>
                <w:color w:val="374151"/>
                <w:sz w:val="18"/>
                <w:szCs w:val="18"/>
              </w:rPr>
              <w:t xml:space="preserve">Breach Log</w:t>
            </w:r>
          </w:p>
        </w:tc>
      </w:tr>
      <w:tr>
        <w:trPr>
          <w:tblHeader w:val="false"/>
        </w:trPr>
        <w:tc>
          <w:tcPr>
            <w:tcW w:type="pct" w:w="40%"/>
            <w:tcMar>
              <w:top w:type="dxa" w:w="60"/>
              <w:left w:type="dxa" w:w="120"/>
              <w:bottom w:type="dxa" w:w="60"/>
              <w:right w:type="dxa" w:w="120"/>
            </w:tcMar>
          </w:tcPr>
          <w:p>
            <w:r>
              <w:rPr>
                <w:b w:val="false"/>
                <w:bCs w:val="false"/>
                <w:color w:val="374151"/>
                <w:sz w:val="18"/>
                <w:szCs w:val="18"/>
              </w:rPr>
              <w:t xml:space="preserve">Generate a monthly report</w:t>
            </w:r>
          </w:p>
        </w:tc>
        <w:tc>
          <w:tcPr>
            <w:tcW w:type="pct" w:w="60%"/>
            <w:tcMar>
              <w:top w:type="dxa" w:w="60"/>
              <w:left w:type="dxa" w:w="120"/>
              <w:bottom w:type="dxa" w:w="60"/>
              <w:right w:type="dxa" w:w="120"/>
            </w:tcMar>
          </w:tcPr>
          <w:p>
            <w:r>
              <w:rPr>
                <w:b w:val="false"/>
                <w:bCs w:val="false"/>
                <w:color w:val="374151"/>
                <w:sz w:val="18"/>
                <w:szCs w:val="18"/>
              </w:rPr>
              <w:t xml:space="preserve">Report → select bank, vendor, month</w:t>
            </w:r>
          </w:p>
        </w:tc>
      </w:tr>
      <w:tr>
        <w:trPr>
          <w:tblHeader w:val="false"/>
        </w:trPr>
        <w:tc>
          <w:tcPr>
            <w:tcW w:type="pct" w:w="40%"/>
            <w:tcMar>
              <w:top w:type="dxa" w:w="60"/>
              <w:left w:type="dxa" w:w="120"/>
              <w:bottom w:type="dxa" w:w="60"/>
              <w:right w:type="dxa" w:w="120"/>
            </w:tcMar>
          </w:tcPr>
          <w:p>
            <w:r>
              <w:rPr>
                <w:b w:val="false"/>
                <w:bCs w:val="false"/>
                <w:color w:val="374151"/>
                <w:sz w:val="18"/>
                <w:szCs w:val="18"/>
              </w:rPr>
              <w:t xml:space="preserve">Set up auto email ingestion</w:t>
            </w:r>
          </w:p>
        </w:tc>
        <w:tc>
          <w:tcPr>
            <w:tcW w:type="pct" w:w="60%"/>
            <w:tcMar>
              <w:top w:type="dxa" w:w="60"/>
              <w:left w:type="dxa" w:w="120"/>
              <w:bottom w:type="dxa" w:w="60"/>
              <w:right w:type="dxa" w:w="120"/>
            </w:tcMar>
          </w:tcPr>
          <w:p>
            <w:r>
              <w:rPr>
                <w:b w:val="false"/>
                <w:bCs w:val="false"/>
                <w:color w:val="374151"/>
                <w:sz w:val="18"/>
                <w:szCs w:val="18"/>
              </w:rPr>
              <w:t xml:space="preserve">Email Config → Add Email Account</w:t>
            </w:r>
          </w:p>
        </w:tc>
      </w:tr>
      <w:tr>
        <w:trPr>
          <w:tblHeader w:val="false"/>
        </w:trPr>
        <w:tc>
          <w:tcPr>
            <w:tcW w:type="pct" w:w="40%"/>
            <w:tcMar>
              <w:top w:type="dxa" w:w="60"/>
              <w:left w:type="dxa" w:w="120"/>
              <w:bottom w:type="dxa" w:w="60"/>
              <w:right w:type="dxa" w:w="120"/>
            </w:tcMar>
          </w:tcPr>
          <w:p>
            <w:r>
              <w:rPr>
                <w:b w:val="false"/>
                <w:bCs w:val="false"/>
                <w:color w:val="374151"/>
                <w:sz w:val="18"/>
                <w:szCs w:val="18"/>
              </w:rPr>
              <w:t xml:space="preserve">Check email poll history</w:t>
            </w:r>
          </w:p>
        </w:tc>
        <w:tc>
          <w:tcPr>
            <w:tcW w:type="pct" w:w="60%"/>
            <w:tcMar>
              <w:top w:type="dxa" w:w="60"/>
              <w:left w:type="dxa" w:w="120"/>
              <w:bottom w:type="dxa" w:w="60"/>
              <w:right w:type="dxa" w:w="120"/>
            </w:tcMar>
          </w:tcPr>
          <w:p>
            <w:r>
              <w:rPr>
                <w:b w:val="false"/>
                <w:bCs w:val="false"/>
                <w:color w:val="374151"/>
                <w:sz w:val="18"/>
                <w:szCs w:val="18"/>
              </w:rPr>
              <w:t xml:space="preserve">Email Config → Poll Log</w:t>
            </w:r>
          </w:p>
        </w:tc>
      </w:tr>
      <w:tr>
        <w:trPr>
          <w:tblHeader w:val="false"/>
        </w:trPr>
        <w:tc>
          <w:tcPr>
            <w:tcW w:type="pct" w:w="40%"/>
            <w:tcMar>
              <w:top w:type="dxa" w:w="60"/>
              <w:left w:type="dxa" w:w="120"/>
              <w:bottom w:type="dxa" w:w="60"/>
              <w:right w:type="dxa" w:w="120"/>
            </w:tcMar>
          </w:tcPr>
          <w:p>
            <w:r>
              <w:rPr>
                <w:b w:val="false"/>
                <w:bCs w:val="false"/>
                <w:color w:val="374151"/>
                <w:sz w:val="18"/>
                <w:szCs w:val="18"/>
              </w:rPr>
              <w:t xml:space="preserve">Add a vendor product</w:t>
            </w:r>
          </w:p>
        </w:tc>
        <w:tc>
          <w:tcPr>
            <w:tcW w:type="pct" w:w="60%"/>
            <w:tcMar>
              <w:top w:type="dxa" w:w="60"/>
              <w:left w:type="dxa" w:w="120"/>
              <w:bottom w:type="dxa" w:w="60"/>
              <w:right w:type="dxa" w:w="120"/>
            </w:tcMar>
          </w:tcPr>
          <w:p>
            <w:r>
              <w:rPr>
                <w:b w:val="false"/>
                <w:bCs w:val="false"/>
                <w:color w:val="374151"/>
                <w:sz w:val="18"/>
                <w:szCs w:val="18"/>
              </w:rPr>
              <w:t xml:space="preserve">Products → fill form → Add Product</w:t>
            </w:r>
          </w:p>
        </w:tc>
      </w:tr>
    </w:tbl>
    <w:p>
      <w:r>
        <w:br w:type="page"/>
      </w:r>
    </w:p>
    <w:p>
      <w:pPr>
        <w:pStyle w:val="Heading1"/>
        <w:pBdr>
          <w:bottom w:val="single" w:color="1E40AF" w:sz="8"/>
        </w:pBdr>
        <w:spacing w:after="160" w:before="400"/>
      </w:pPr>
      <w:r>
        <w:rPr>
          <w:b/>
          <w:bCs/>
          <w:color w:val="1E3A8A"/>
          <w:sz w:val="32"/>
          <w:szCs w:val="32"/>
        </w:rPr>
        <w:t xml:space="preserve">14. Troubleshooting</w:t>
      </w:r>
    </w:p>
    <w:p>
      <w:pPr>
        <w:spacing w:after="160"/>
      </w:pPr>
    </w:p>
    <w:p>
      <w:pPr>
        <w:pStyle w:val="Heading3"/>
        <w:spacing w:after="80" w:before="240"/>
      </w:pPr>
      <w:r>
        <w:rPr>
          <w:b/>
          <w:bCs/>
          <w:color w:val="334155"/>
          <w:sz w:val="22"/>
          <w:szCs w:val="22"/>
        </w:rPr>
        <w:t xml:space="preserve">Outage shows status PENDING</w:t>
      </w:r>
    </w:p>
    <w:p>
      <w:pPr>
        <w:spacing w:after="120"/>
      </w:pPr>
      <w:r>
        <w:rPr>
          <w:color w:val="374151"/>
          <w:sz w:val="20"/>
          <w:szCs w:val="20"/>
        </w:rPr>
        <w:t xml:space="preserve">The system could not find an SLA rule matching the vendor+product. Check:</w:t>
      </w:r>
    </w:p>
    <w:p>
      <w:pPr>
        <w:pStyle w:val="ListParagraph"/>
        <w:numPr>
          <w:ilvl w:val="0"/>
          <w:numId w:val="1"/>
        </w:numPr>
        <w:spacing w:after="80"/>
      </w:pPr>
      <w:r>
        <w:rPr>
          <w:color w:val="374151"/>
          <w:sz w:val="20"/>
          <w:szCs w:val="20"/>
        </w:rPr>
        <w:t xml:space="preserve">The vendor name in the outage exactly matches the SLA rule (case-sensitive).</w:t>
      </w:r>
    </w:p>
    <w:p>
      <w:pPr>
        <w:pStyle w:val="ListParagraph"/>
        <w:numPr>
          <w:ilvl w:val="0"/>
          <w:numId w:val="1"/>
        </w:numPr>
        <w:spacing w:after="80"/>
      </w:pPr>
      <w:r>
        <w:rPr>
          <w:color w:val="374151"/>
          <w:sz w:val="20"/>
          <w:szCs w:val="20"/>
        </w:rPr>
        <w:t xml:space="preserve">The product name in the outage exactly matches the SLA rule.</w:t>
      </w:r>
    </w:p>
    <w:p>
      <w:pPr>
        <w:pStyle w:val="ListParagraph"/>
        <w:numPr>
          <w:ilvl w:val="0"/>
          <w:numId w:val="1"/>
        </w:numPr>
        <w:spacing w:after="80"/>
      </w:pPr>
      <w:r>
        <w:rPr>
          <w:color w:val="374151"/>
          <w:sz w:val="20"/>
          <w:szCs w:val="20"/>
        </w:rPr>
        <w:t xml:space="preserve">An SLA rule exists for this bank, vendor, and product in SLA Config.</w:t>
      </w:r>
    </w:p>
    <w:p>
      <w:pPr>
        <w:spacing w:after="160"/>
      </w:pPr>
    </w:p>
    <w:p>
      <w:pPr>
        <w:pStyle w:val="Heading3"/>
        <w:spacing w:after="80" w:before="240"/>
      </w:pPr>
      <w:r>
        <w:rPr>
          <w:b/>
          <w:bCs/>
          <w:color w:val="334155"/>
          <w:sz w:val="22"/>
          <w:szCs w:val="22"/>
        </w:rPr>
        <w:t xml:space="preserve">Portal link returns "Invalid or expired portal link"</w:t>
      </w:r>
    </w:p>
    <w:p>
      <w:pPr>
        <w:pStyle w:val="ListParagraph"/>
        <w:numPr>
          <w:ilvl w:val="0"/>
          <w:numId w:val="1"/>
        </w:numPr>
        <w:spacing w:after="80"/>
      </w:pPr>
      <w:r>
        <w:rPr>
          <w:color w:val="374151"/>
          <w:sz w:val="20"/>
          <w:szCs w:val="20"/>
        </w:rPr>
        <w:t xml:space="preserve">The token has been regenerated. Share the new link from the Banks page.</w:t>
      </w:r>
    </w:p>
    <w:p>
      <w:pPr>
        <w:pStyle w:val="ListParagraph"/>
        <w:numPr>
          <w:ilvl w:val="0"/>
          <w:numId w:val="1"/>
        </w:numPr>
        <w:spacing w:after="80"/>
      </w:pPr>
      <w:r>
        <w:rPr>
          <w:color w:val="374151"/>
          <w:sz w:val="20"/>
          <w:szCs w:val="20"/>
        </w:rPr>
        <w:t xml:space="preserve">The bank was deleted. Re-add the bank and create a new portal link.</w:t>
      </w:r>
    </w:p>
    <w:p>
      <w:pPr>
        <w:spacing w:after="160"/>
      </w:pPr>
    </w:p>
    <w:p>
      <w:pPr>
        <w:pStyle w:val="Heading3"/>
        <w:spacing w:after="80" w:before="240"/>
      </w:pPr>
      <w:r>
        <w:rPr>
          <w:b/>
          <w:bCs/>
          <w:color w:val="334155"/>
          <w:sz w:val="22"/>
          <w:szCs w:val="22"/>
        </w:rPr>
        <w:t xml:space="preserve">Email ingestion not picking up messages</w:t>
      </w:r>
    </w:p>
    <w:p>
      <w:pPr>
        <w:pStyle w:val="ListParagraph"/>
        <w:numPr>
          <w:ilvl w:val="0"/>
          <w:numId w:val="1"/>
        </w:numPr>
        <w:spacing w:after="80"/>
      </w:pPr>
      <w:r>
        <w:rPr>
          <w:color w:val="374151"/>
          <w:sz w:val="20"/>
          <w:szCs w:val="20"/>
        </w:rPr>
        <w:t xml:space="preserve">Verify the IMAP credentials are correct (Email Config → Test Connection).</w:t>
      </w:r>
    </w:p>
    <w:p>
      <w:pPr>
        <w:pStyle w:val="ListParagraph"/>
        <w:numPr>
          <w:ilvl w:val="0"/>
          <w:numId w:val="1"/>
        </w:numPr>
        <w:spacing w:after="80"/>
      </w:pPr>
      <w:r>
        <w:rPr>
          <w:color w:val="374151"/>
          <w:sz w:val="20"/>
          <w:szCs w:val="20"/>
        </w:rPr>
        <w:t xml:space="preserve">Confirm the vendor is sending to the correct address: sla+{alias}@impactfiadvisors.com.</w:t>
      </w:r>
    </w:p>
    <w:p>
      <w:pPr>
        <w:pStyle w:val="ListParagraph"/>
        <w:numPr>
          <w:ilvl w:val="0"/>
          <w:numId w:val="1"/>
        </w:numPr>
        <w:spacing w:after="80"/>
      </w:pPr>
      <w:r>
        <w:rPr>
          <w:color w:val="374151"/>
          <w:sz w:val="20"/>
          <w:szCs w:val="20"/>
        </w:rPr>
        <w:t xml:space="preserve">Check the Poll Log for error messages.</w:t>
      </w:r>
    </w:p>
    <w:p>
      <w:pPr>
        <w:pStyle w:val="ListParagraph"/>
        <w:numPr>
          <w:ilvl w:val="0"/>
          <w:numId w:val="1"/>
        </w:numPr>
        <w:spacing w:after="80"/>
      </w:pPr>
      <w:r>
        <w:rPr>
          <w:color w:val="374151"/>
          <w:sz w:val="20"/>
          <w:szCs w:val="20"/>
        </w:rPr>
        <w:t xml:space="preserve">Confirm the email alias in the Banks page matches exactly what is in the TO address.</w:t>
      </w:r>
    </w:p>
    <w:p>
      <w:pPr>
        <w:spacing w:after="160"/>
      </w:pPr>
    </w:p>
    <w:p>
      <w:pPr>
        <w:pStyle w:val="Heading3"/>
        <w:spacing w:after="80" w:before="240"/>
      </w:pPr>
      <w:r>
        <w:rPr>
          <w:b/>
          <w:bCs/>
          <w:color w:val="334155"/>
          <w:sz w:val="22"/>
          <w:szCs w:val="22"/>
        </w:rPr>
        <w:t xml:space="preserve">Build or server errors</w:t>
      </w:r>
    </w:p>
    <w:p>
      <w:pPr>
        <w:spacing w:after="120"/>
      </w:pPr>
      <w:r>
        <w:rPr>
          <w:color w:val="374151"/>
          <w:sz w:val="20"/>
          <w:szCs w:val="20"/>
        </w:rPr>
        <w:t xml:space="preserve">If the application is not starting correctly, run the following in the project root:</w:t>
      </w:r>
    </w:p>
    <w:p>
      <w:pPr>
        <w:shd w:fill="1E293B" w:val="clear"/>
        <w:spacing w:after="80" w:before="80"/>
        <w:ind w:left="360"/>
      </w:pPr>
      <w:r>
        <w:rPr>
          <w:rFonts w:ascii="Courier New" w:cs="Courier New" w:eastAsia="Courier New" w:hAnsi="Courier New"/>
          <w:color w:val="86EFAC"/>
          <w:sz w:val="18"/>
          <w:szCs w:val="18"/>
        </w:rPr>
        <w:t xml:space="preserve">npm run build &amp;&amp; npm start</w:t>
      </w:r>
    </w:p>
    <w:p>
      <w:pPr>
        <w:spacing w:after="160"/>
      </w:pPr>
    </w:p>
    <w:p>
      <w:pPr>
        <w:spacing w:after="160"/>
      </w:pPr>
    </w:p>
    <w:p>
      <w:pPr>
        <w:spacing w:before="400"/>
        <w:jc w:val="center"/>
      </w:pPr>
      <w:r>
        <w:rPr>
          <w:i/>
          <w:iCs/>
          <w:color w:val="64748B"/>
          <w:sz w:val="18"/>
          <w:szCs w:val="18"/>
        </w:rPr>
        <w:t xml:space="preserve">— End of Admin Guide —</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center"/>
    </w:pPr>
    <w:r>
      <w:rPr>
        <w:color w:val="64748B"/>
        <w:sz w:val="16"/>
        <w:szCs w:val="16"/>
      </w:rPr>
      <w:t xml:space="preserve">Confidential — Impact FI Advisors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pBdr>
      <w:jc w:val="right"/>
    </w:pPr>
    <w:r>
      <w:rPr>
        <w:color w:val="64748B"/>
        <w:sz w:val="16"/>
        <w:szCs w:val="16"/>
      </w:rPr>
      <w:t xml:space="preserve">SLA Breach Tracker  |  Admin Guide  |  Impact FI Advisors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1."/>
      <w:lvlJc w:val="start"/>
      <w:pPr>
        <w:ind w:left="720" w:hanging="360"/>
      </w:pPr>
    </w:lvl>
    <w:lvl w:ilvl="1" w15:tentative="1">
      <w:start w:val="1"/>
      <w:lvlText w:val="%2."/>
      <w:lvlJc w:val="star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2026-04-22T16:15:09.068Z</dcterms:created>
  <dcterms:modified xsi:type="dcterms:W3CDTF">2026-04-22T16:15:09.069Z</dcterms:modified>
</cp:coreProperties>
</file>

<file path=docProps/custom.xml><?xml version="1.0" encoding="utf-8"?>
<Properties xmlns="http://schemas.openxmlformats.org/officeDocument/2006/custom-properties" xmlns:vt="http://schemas.openxmlformats.org/officeDocument/2006/docPropsVTypes"/>
</file>