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80"/>
      </w:pPr>
      <w:r>
        <w:rPr>
          <w:rFonts w:ascii="Arial" w:cs="Arial" w:eastAsia="Arial" w:hAnsi="Arial"/>
          <w:b/>
          <w:bCs/>
          <w:color w:val="1C1C1E"/>
          <w:sz w:val="64"/>
          <w:szCs w:val="64"/>
        </w:rPr>
        <w:t xml:space="preserve">NEXARA PLATFORM</w:t>
      </w:r>
    </w:p>
    <w:p>
      <w:pPr>
        <w:spacing w:after="60"/>
      </w:pPr>
      <w:r>
        <w:rPr>
          <w:rFonts w:ascii="Arial" w:cs="Arial" w:eastAsia="Arial" w:hAnsi="Arial"/>
          <w:color w:val="4A4A4F"/>
          <w:sz w:val="36"/>
          <w:szCs w:val="36"/>
        </w:rPr>
        <w:t xml:space="preserve">Knowledge Transfer Report</w:t>
      </w:r>
    </w:p>
    <w:p>
      <w:pPr>
        <w:spacing w:after="400"/>
      </w:pPr>
      <w:r>
        <w:rPr>
          <w:rFonts w:ascii="Arial" w:cs="Arial" w:eastAsia="Arial" w:hAnsi="Arial"/>
          <w:color w:val="8E8E93"/>
          <w:sz w:val="24"/>
          <w:szCs w:val="24"/>
        </w:rPr>
        <w:t xml:space="preserve">Multi-Sector Architecture Edition</w:t>
      </w:r>
    </w:p>
    <w:p>
      <w:pPr>
        <w:pBdr>
          <w:bottom w:val="single" w:color="DADADA" w:sz="4" w:space="1"/>
        </w:pBdr>
        <w:spacing w:after="160" w:before="160"/>
      </w:pPr>
    </w:p>
    <w:p>
      <w:pPr>
        <w:spacing w:after="0" w:before="80"/>
      </w:pPr>
    </w:p>
    <w:p>
      <w:pPr>
        <w:spacing w:after="320"/>
      </w:pPr>
      <w:r>
        <w:rPr>
          <w:rFonts w:ascii="Arial" w:cs="Arial" w:eastAsia="Arial" w:hAnsi="Arial"/>
          <w:color w:val="8E8E93"/>
          <w:sz w:val="19"/>
          <w:szCs w:val="19"/>
        </w:rPr>
        <w:t xml:space="preserve">May 2026   ·   Internal Engineering KT   ·   REVA University / Nexara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Platform</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Django · LangGraph · Supabase · Redis · MCP · Next.js</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Architecture</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Compliance-grade, AI-native workflow engine</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Sectors</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15+ addressable regulated industries</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Status</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Finance built · Multi-sector in planning</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Document type</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Knowledge Transfer — Internal</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3A3C" w:sz="6"/>
              <w:left w:val="single" w:color="3A3A3C" w:sz="12"/>
              <w:bottom w:val="nil" w:color="FFFFFF" w:sz="0"/>
              <w:right w:val="nil" w:color="FFFFFF" w:sz="0"/>
            </w:tcBorders>
            <w:shd w:fill="F5F5F5" w:val="clear"/>
            <w:tcMar>
              <w:top w:type="dxa" w:w="120"/>
              <w:left w:type="dxa" w:w="200"/>
              <w:bottom w:type="dxa" w:w="120"/>
              <w:right w:type="dxa" w:w="200"/>
            </w:tcMar>
          </w:tcPr>
          <w:p>
            <w:r>
              <w:rPr>
                <w:rFonts w:ascii="Arial" w:cs="Arial" w:eastAsia="Arial" w:hAnsi="Arial"/>
                <w:b/>
                <w:bCs/>
                <w:color w:val="3A3A3C"/>
                <w:sz w:val="18"/>
                <w:szCs w:val="18"/>
              </w:rPr>
              <w:t xml:space="preserve">Core differentiator</w:t>
            </w:r>
          </w:p>
          <w:p>
            <w:pPr>
              <w:spacing w:line="320"/>
            </w:pPr>
            <w:r>
              <w:rPr>
                <w:rFonts w:ascii="Arial" w:cs="Arial" w:eastAsia="Arial" w:hAnsi="Arial"/>
                <w:color w:val="4A4A4F"/>
                <w:sz w:val="20"/>
                <w:szCs w:val="20"/>
              </w:rPr>
              <w:t xml:space="preserve">Every Nexara decision is tied to an immutable data snapshot — so we can replay exactly what the system saw, even years later.</w:t>
            </w:r>
          </w:p>
        </w:tc>
      </w:tr>
    </w:tbl>
    <w:p>
      <w:r>
        <w:br w:type="page"/>
      </w:r>
    </w:p>
    <w:p>
      <w:pPr>
        <w:pStyle w:val="Heading1"/>
      </w:pPr>
      <w:r>
        <w:rPr>
          <w:rFonts w:ascii="Arial" w:cs="Arial" w:eastAsia="Arial" w:hAnsi="Arial"/>
          <w:b/>
          <w:bCs/>
          <w:color w:val="1C1C1E"/>
          <w:sz w:val="36"/>
          <w:szCs w:val="36"/>
        </w:rPr>
        <w:t xml:space="preserve">1. Platform overview</w:t>
      </w:r>
    </w:p>
    <w:p>
      <w:pPr>
        <w:spacing w:after="120" w:line="336"/>
      </w:pPr>
      <w:r>
        <w:rPr>
          <w:rFonts w:ascii="Arial" w:cs="Arial" w:eastAsia="Arial" w:hAnsi="Arial"/>
          <w:color w:val="4A4A4F"/>
          <w:sz w:val="21"/>
          <w:szCs w:val="21"/>
        </w:rPr>
        <w:t xml:space="preserve">Nexara is a compliance-grade, AI-native workflow and decision management platform. Originally built for the wealth management sector, the platform is designed from the ground up with auditability, human oversight, and deterministic replay as first-class concerns — not afterthoughts.</w:t>
      </w:r>
    </w:p>
    <w:p>
      <w:pPr>
        <w:spacing w:after="120" w:line="336"/>
      </w:pPr>
      <w:r>
        <w:rPr>
          <w:rFonts w:ascii="Arial" w:cs="Arial" w:eastAsia="Arial" w:hAnsi="Arial"/>
          <w:color w:val="4A4A4F"/>
          <w:sz w:val="21"/>
          <w:szCs w:val="21"/>
        </w:rPr>
        <w:t xml:space="preserve">The architecture is intentionally domain-agnostic at its core. The workflow engine, human-in-the-loop (HITL) framework, audit trail, and policy evaluation layer can serve any regulated industry. The plan outlined in this document expands Nexara from a single-sector finance SaaS into a multi-sector enterprise compliance platform.</w:t>
      </w:r>
    </w:p>
    <w:p>
      <w:pPr>
        <w:spacing w:after="0" w:before="80"/>
      </w:pPr>
    </w:p>
    <w:p>
      <w:pPr>
        <w:pStyle w:val="Heading3"/>
        <w:spacing w:after="80" w:before="200"/>
      </w:pPr>
      <w:r>
        <w:rPr>
          <w:rFonts w:ascii="Arial" w:cs="Arial" w:eastAsia="Arial" w:hAnsi="Arial"/>
          <w:b/>
          <w:bCs/>
          <w:color w:val="2C2C2E"/>
          <w:sz w:val="23"/>
          <w:szCs w:val="23"/>
        </w:rPr>
        <w:t xml:space="preserve">1.1 Key platform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Metric</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Value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Notes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Architecture phases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C1C1E"/>
                <w:sz w:val="20"/>
                <w:szCs w:val="20"/>
              </w:rPr>
              <w:t xml:space="preserve">4</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Supabase → Iceberg → Dual-write → Enterprise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Decision stages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C1C1E"/>
                <w:sz w:val="20"/>
                <w:szCs w:val="20"/>
              </w:rPr>
              <w:t xml:space="preserve">9</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Event trigger through to memory</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Built-in node types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C1C1E"/>
                <w:sz w:val="20"/>
                <w:szCs w:val="20"/>
              </w:rPr>
              <w:t xml:space="preserve">17+</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I/O, compute, HITL, policy, LLM, mutation</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Addressable sectors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C1C1E"/>
                <w:sz w:val="20"/>
                <w:szCs w:val="20"/>
              </w:rPr>
              <w:t xml:space="preserve">15+</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Finance built; others in planning</w:t>
            </w:r>
          </w:p>
        </w:tc>
      </w:tr>
    </w:tbl>
    <w:p>
      <w:pPr>
        <w:spacing w:after="0" w:before="160"/>
      </w:pPr>
    </w:p>
    <w:p>
      <w:pPr>
        <w:pStyle w:val="Heading1"/>
      </w:pPr>
      <w:r>
        <w:rPr>
          <w:rFonts w:ascii="Arial" w:cs="Arial" w:eastAsia="Arial" w:hAnsi="Arial"/>
          <w:b/>
          <w:bCs/>
          <w:color w:val="1C1C1E"/>
          <w:sz w:val="36"/>
          <w:szCs w:val="36"/>
        </w:rPr>
        <w:t xml:space="preserve">2. Core architecture</w:t>
      </w:r>
    </w:p>
    <w:p>
      <w:pPr>
        <w:spacing w:after="120" w:line="336"/>
      </w:pPr>
      <w:r>
        <w:rPr>
          <w:rFonts w:ascii="Arial" w:cs="Arial" w:eastAsia="Arial" w:hAnsi="Arial"/>
          <w:color w:val="4A4A4F"/>
          <w:sz w:val="21"/>
          <w:szCs w:val="21"/>
        </w:rPr>
        <w:t xml:space="preserve">The central design principle is: Django does everything. Every other service in the stack is a thin, dumb interface. Django holds all business logic, ORM, tenant isolation, policy evaluation, and workflow control.</w:t>
      </w:r>
    </w:p>
    <w:p>
      <w:pPr>
        <w:spacing w:after="0" w:before="80"/>
      </w:pPr>
    </w:p>
    <w:p>
      <w:pPr>
        <w:pStyle w:val="Heading3"/>
        <w:spacing w:after="80" w:before="200"/>
      </w:pPr>
      <w:r>
        <w:rPr>
          <w:rFonts w:ascii="Arial" w:cs="Arial" w:eastAsia="Arial" w:hAnsi="Arial"/>
          <w:b/>
          <w:bCs/>
          <w:color w:val="2C2C2E"/>
          <w:sz w:val="23"/>
          <w:szCs w:val="23"/>
        </w:rPr>
        <w:t xml:space="preserve">2.1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588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Component</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Metaphor</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Responsibility</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C1C1E"/>
                <w:sz w:val="20"/>
                <w:szCs w:val="20"/>
              </w:rPr>
              <w:t xml:space="preserve">Django</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The factory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All business logic, ORM, tenant isolation, policy evaluation, workflow control. Authoritative brain.</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LangGraph</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Conveyor belt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Executes directed graphs that Django defines. Calls Django via MCP for every single node. It is intentionally dumb — no business logic.</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MCP (HTTP/SSE)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Intercom</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Thin HTTP wrapper exposing Django internal APIs as LLM-callable tools. Mediates permissions, logging, and data scope per call.</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Next.js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TV screen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Pure display surface. Receives schemas from Django. No business logic. UI updates automatically when Django changes its schema.</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Supabase (PostgreSQL 16 + pgvector)</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System of record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All decisions, workflows, tenants. Managed cloud Supabase instance. Two schemas: public (Django) and nexara_graph (runtime). Built-in Auth, Realtime, Row Level Security, and pgvector support.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Redis 7.2</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Broker + cache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DB 0: Django/Celery task queuing. DB 1: graph runtime state. Pub/sub for SSE progress events.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Celery + Celery Beat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Async runner</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Async node execution. Scheduled agents (e.g. market_data_sync runs nightly via cron).</w:t>
            </w:r>
          </w:p>
        </w:tc>
      </w:tr>
    </w:tbl>
    <w:p>
      <w:pPr>
        <w:spacing w:after="0" w:before="160"/>
      </w:pPr>
    </w:p>
    <w:p>
      <w:pPr>
        <w:pStyle w:val="Heading3"/>
        <w:spacing w:after="80" w:before="200"/>
      </w:pPr>
      <w:r>
        <w:rPr>
          <w:rFonts w:ascii="Arial" w:cs="Arial" w:eastAsia="Arial" w:hAnsi="Arial"/>
          <w:b/>
          <w:bCs/>
          <w:color w:val="2C2C2E"/>
          <w:sz w:val="23"/>
          <w:szCs w:val="23"/>
        </w:rPr>
        <w:t xml:space="preserve">2.2 Codebase structure</w:t>
      </w:r>
    </w:p>
    <w:p>
      <w:pPr>
        <w:spacing w:after="120" w:line="336"/>
      </w:pPr>
      <w:r>
        <w:rPr>
          <w:rFonts w:ascii="Arial" w:cs="Arial" w:eastAsia="Arial" w:hAnsi="Arial"/>
          <w:color w:val="4A4A4F"/>
          <w:sz w:val="21"/>
          <w:szCs w:val="21"/>
        </w:rPr>
        <w:t xml:space="preserve">Four packages live inside nexara_platform/, each with a clear boundary:</w:t>
      </w:r>
    </w:p>
    <w:p>
      <w:pPr>
        <w:pStyle w:val="ListParagraph"/>
        <w:numPr>
          <w:ilvl w:val="0"/>
          <w:numId w:val="2"/>
        </w:numPr>
        <w:spacing w:after="60"/>
      </w:pPr>
      <w:r>
        <w:rPr>
          <w:rFonts w:ascii="Arial" w:cs="Arial" w:eastAsia="Arial" w:hAnsi="Arial"/>
          <w:color w:val="4A4A4F"/>
          <w:sz w:val="20"/>
          <w:szCs w:val="20"/>
        </w:rPr>
        <w:t xml:space="preserve">platform/ — Foundation layer. Multi-tenancy middleware, TenantAwareModel, JWT auth, RBAC, Redis pub/sub, fixture infrastructure.</w:t>
      </w:r>
    </w:p>
    <w:p>
      <w:pPr>
        <w:pStyle w:val="ListParagraph"/>
        <w:numPr>
          <w:ilvl w:val="0"/>
          <w:numId w:val="2"/>
        </w:numPr>
        <w:spacing w:after="60"/>
      </w:pPr>
      <w:r>
        <w:rPr>
          <w:rFonts w:ascii="Arial" w:cs="Arial" w:eastAsia="Arial" w:hAnsi="Arial"/>
          <w:color w:val="4A4A4F"/>
          <w:sz w:val="20"/>
          <w:szCs w:val="20"/>
        </w:rPr>
        <w:t xml:space="preserve">data/ — Platform-level shared reference data (not tenant-scoped). Currencies, FX rates, asset classes, instruments, OHLCV prices.</w:t>
      </w:r>
    </w:p>
    <w:p>
      <w:pPr>
        <w:pStyle w:val="ListParagraph"/>
        <w:numPr>
          <w:ilvl w:val="0"/>
          <w:numId w:val="2"/>
        </w:numPr>
        <w:spacing w:after="60"/>
      </w:pPr>
      <w:r>
        <w:rPr>
          <w:rFonts w:ascii="Arial" w:cs="Arial" w:eastAsia="Arial" w:hAnsi="Arial"/>
          <w:color w:val="4A4A4F"/>
          <w:sz w:val="20"/>
          <w:szCs w:val="20"/>
        </w:rPr>
        <w:t xml:space="preserve">domains/ — Business domains. End-investor records, portfolios, transaction ledger, performance series, Gmail email ingestion.</w:t>
      </w:r>
    </w:p>
    <w:p>
      <w:pPr>
        <w:pStyle w:val="ListParagraph"/>
        <w:numPr>
          <w:ilvl w:val="0"/>
          <w:numId w:val="2"/>
        </w:numPr>
        <w:spacing w:after="60"/>
      </w:pPr>
      <w:r>
        <w:rPr>
          <w:rFonts w:ascii="Arial" w:cs="Arial" w:eastAsia="Arial" w:hAnsi="Arial"/>
          <w:color w:val="4A4A4F"/>
          <w:sz w:val="20"/>
          <w:szCs w:val="20"/>
        </w:rPr>
        <w:t xml:space="preserve">engine/ — Orchestration engine. Workflow execution, node registry, decision memory, HITL, SSE events, server-driven UI contracts.</w:t>
      </w:r>
    </w:p>
    <w:p>
      <w:pPr>
        <w:spacing w:after="0" w:before="160"/>
      </w:pPr>
    </w:p>
    <w:p>
      <w:pPr>
        <w:pStyle w:val="Heading3"/>
        <w:spacing w:after="80" w:before="200"/>
      </w:pPr>
      <w:r>
        <w:rPr>
          <w:rFonts w:ascii="Arial" w:cs="Arial" w:eastAsia="Arial" w:hAnsi="Arial"/>
          <w:b/>
          <w:bCs/>
          <w:color w:val="2C2C2E"/>
          <w:sz w:val="23"/>
          <w:szCs w:val="23"/>
        </w:rPr>
        <w:t xml:space="preserve">2.3 Multi-tenancy</w:t>
      </w:r>
    </w:p>
    <w:p>
      <w:pPr>
        <w:spacing w:after="120" w:line="336"/>
      </w:pPr>
      <w:r>
        <w:rPr>
          <w:rFonts w:ascii="Arial" w:cs="Arial" w:eastAsia="Arial" w:hAnsi="Arial"/>
          <w:color w:val="4A4A4F"/>
          <w:sz w:val="21"/>
          <w:szCs w:val="21"/>
        </w:rPr>
        <w:t xml:space="preserve">Every database query is automatically filtered by tenant via TenantAwareManager. No view ever needs to perform tenant filtering manually — it is enforced at the ORM level via thread-local state set by middleware.</w:t>
      </w:r>
    </w:p>
    <w:p>
      <w:pPr>
        <w:spacing w:after="120" w:line="336"/>
      </w:pPr>
      <w:r>
        <w:rPr>
          <w:rFonts w:ascii="Arial" w:cs="Arial" w:eastAsia="Arial" w:hAnsi="Arial"/>
          <w:color w:val="4A4A4F"/>
          <w:sz w:val="21"/>
          <w:szCs w:val="21"/>
        </w:rPr>
        <w:t xml:space="preserve">TenantWorkflowConfig allows each tenant to fork a workflow graph (different nodes or overrides) while the platform default always serves as the fallback. This mechanism is the foundation of multi-sector support.</w:t>
      </w:r>
    </w:p>
    <w:p>
      <w:pPr>
        <w:spacing w:after="0" w:before="80"/>
      </w:pPr>
    </w:p>
    <w:p>
      <w:pPr>
        <w:pStyle w:val="Heading1"/>
      </w:pPr>
      <w:r>
        <w:rPr>
          <w:rFonts w:ascii="Arial" w:cs="Arial" w:eastAsia="Arial" w:hAnsi="Arial"/>
          <w:b/>
          <w:bCs/>
          <w:color w:val="1C1C1E"/>
          <w:sz w:val="36"/>
          <w:szCs w:val="36"/>
        </w:rPr>
        <w:t xml:space="preserve">3. Workflow engine</w:t>
      </w:r>
    </w:p>
    <w:p>
      <w:pPr>
        <w:spacing w:after="120" w:line="336"/>
      </w:pPr>
      <w:r>
        <w:rPr>
          <w:rFonts w:ascii="Arial" w:cs="Arial" w:eastAsia="Arial" w:hAnsi="Arial"/>
          <w:color w:val="4A4A4F"/>
          <w:sz w:val="21"/>
          <w:szCs w:val="21"/>
        </w:rPr>
        <w:t xml:space="preserve">Workflows are stored as immutable WorkflowTemplate blueprints. Running workflows never see template changes — the template version is locked at WorkflowRun creation time. This is a hard requirement for deterministic replay.</w:t>
      </w:r>
    </w:p>
    <w:p>
      <w:pPr>
        <w:spacing w:after="0" w:before="80"/>
      </w:pPr>
    </w:p>
    <w:p>
      <w:pPr>
        <w:pStyle w:val="Heading3"/>
        <w:spacing w:after="80" w:before="200"/>
      </w:pPr>
      <w:r>
        <w:rPr>
          <w:rFonts w:ascii="Arial" w:cs="Arial" w:eastAsia="Arial" w:hAnsi="Arial"/>
          <w:b/>
          <w:bCs/>
          <w:color w:val="2C2C2E"/>
          <w:sz w:val="23"/>
          <w:szCs w:val="23"/>
        </w:rPr>
        <w:t xml:space="preserve">3.1 Core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Model</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Purpose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WorkflowTemplate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Immutable blueprint. Graph JSON, (code, version) unique key. Never updated in-place.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WorkflowRun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Execution instance. Locks template version at creation. Links to graph_thread_id.</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NodeRun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Append-only record per node execution: input/output refs, duration, retry count.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TenantWorkflowConfig</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JSON overrides per tenant — lets one tenant fork the graph behaviour without changing the template.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Agent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Named workflow trigger, e.g. market_data_sync or portfolio_import.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AgentRun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Primary audit record for each agent execution — trigger, status, I/O summary.</w:t>
            </w:r>
          </w:p>
        </w:tc>
      </w:tr>
    </w:tbl>
    <w:p>
      <w:pPr>
        <w:spacing w:after="0" w:before="160"/>
      </w:pPr>
    </w:p>
    <w:p>
      <w:pPr>
        <w:pStyle w:val="Heading3"/>
        <w:spacing w:after="80" w:before="200"/>
      </w:pPr>
      <w:r>
        <w:rPr>
          <w:rFonts w:ascii="Arial" w:cs="Arial" w:eastAsia="Arial" w:hAnsi="Arial"/>
          <w:b/>
          <w:bCs/>
          <w:color w:val="2C2C2E"/>
          <w:sz w:val="23"/>
          <w:szCs w:val="23"/>
        </w:rPr>
        <w:t xml:space="preserve">3.2 Run states</w:t>
      </w:r>
    </w:p>
    <w:p>
      <w:pPr>
        <w:spacing w:after="120" w:line="336"/>
      </w:pPr>
      <w:r>
        <w:rPr>
          <w:rFonts w:ascii="Arial" w:cs="Arial" w:eastAsia="Arial" w:hAnsi="Arial"/>
          <w:color w:val="4A4A4F"/>
          <w:sz w:val="21"/>
          <w:szCs w:val="21"/>
        </w:rPr>
        <w:t xml:space="preserve">WorkflowRun progresses through a defined set of states:</w:t>
      </w:r>
    </w:p>
    <w:p>
      <w:pPr>
        <w:pStyle w:val="ListParagraph"/>
        <w:numPr>
          <w:ilvl w:val="0"/>
          <w:numId w:val="2"/>
        </w:numPr>
        <w:spacing w:after="60"/>
      </w:pPr>
      <w:r>
        <w:rPr>
          <w:rFonts w:ascii="Arial" w:cs="Arial" w:eastAsia="Arial" w:hAnsi="Arial"/>
          <w:color w:val="4A4A4F"/>
          <w:sz w:val="20"/>
          <w:szCs w:val="20"/>
        </w:rPr>
        <w:t xml:space="preserve">pending → running → waiting_for_input → completed</w:t>
      </w:r>
    </w:p>
    <w:p>
      <w:pPr>
        <w:pStyle w:val="ListParagraph"/>
        <w:numPr>
          <w:ilvl w:val="0"/>
          <w:numId w:val="2"/>
        </w:numPr>
        <w:spacing w:after="60"/>
      </w:pPr>
      <w:r>
        <w:rPr>
          <w:rFonts w:ascii="Arial" w:cs="Arial" w:eastAsia="Arial" w:hAnsi="Arial"/>
          <w:color w:val="4A4A4F"/>
          <w:sz w:val="20"/>
          <w:szCs w:val="20"/>
        </w:rPr>
        <w:t xml:space="preserve">pending → running → failed</w:t>
      </w:r>
    </w:p>
    <w:p>
      <w:pPr>
        <w:pStyle w:val="ListParagraph"/>
        <w:numPr>
          <w:ilvl w:val="0"/>
          <w:numId w:val="2"/>
        </w:numPr>
        <w:spacing w:after="60"/>
      </w:pPr>
      <w:r>
        <w:rPr>
          <w:rFonts w:ascii="Arial" w:cs="Arial" w:eastAsia="Arial" w:hAnsi="Arial"/>
          <w:color w:val="4A4A4F"/>
          <w:sz w:val="20"/>
          <w:szCs w:val="20"/>
        </w:rPr>
        <w:t xml:space="preserve">pending → running → compensating (for partial commits requiring forward resolution)</w:t>
      </w:r>
    </w:p>
    <w:p>
      <w:pPr>
        <w:spacing w:after="0" w:before="80"/>
      </w:pPr>
    </w:p>
    <w:p>
      <w:pPr>
        <w:pStyle w:val="Heading3"/>
        <w:spacing w:after="80" w:before="200"/>
      </w:pPr>
      <w:r>
        <w:rPr>
          <w:rFonts w:ascii="Arial" w:cs="Arial" w:eastAsia="Arial" w:hAnsi="Arial"/>
          <w:b/>
          <w:bCs/>
          <w:color w:val="2C2C2E"/>
          <w:sz w:val="23"/>
          <w:szCs w:val="23"/>
        </w:rPr>
        <w:t xml:space="preserve">3.3 Execution flow</w:t>
      </w:r>
    </w:p>
    <w:p>
      <w:pPr>
        <w:spacing w:after="120" w:line="336"/>
      </w:pPr>
      <w:r>
        <w:rPr>
          <w:rFonts w:ascii="Arial" w:cs="Arial" w:eastAsia="Arial" w:hAnsi="Arial"/>
          <w:color w:val="4A4A4F"/>
          <w:sz w:val="21"/>
          <w:szCs w:val="21"/>
        </w:rPr>
        <w:t xml:space="preserve">A step-by-step trace of how an agent trigger becomes an audited, completed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Step</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Detail</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1</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Trigger</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CLI / API → AgentTriggerView. Input validated, WorkflowRun + AgentRun records created, Celery task queued.</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2</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AgentService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Resolves active WorkflowTemplate for the agent code. Locks version. Sends to GraphClient.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3</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GraphClient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Sends graph JSON + context to self-hosted LangGraph runtime.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4</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Node execute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Runtime calls POST /api/internal/nodes/{code}/execute/. Django runs the node, applies policies.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5</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Node callback</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Runtime calls POST /api/internal/node-callback/ with result dict. Django writes audit records.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6</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Audit record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NodeRun + MemoryPayload + PolicyEngine + extract_decisions + SSE event written atomically.</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7</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Loop 4–6</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Repeated for every node in the graph until terminal state.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8</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Complete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POST /api/internal/workflow-complete/ → terminal status on AgentRun.</w:t>
            </w:r>
          </w:p>
        </w:tc>
      </w:tr>
    </w:tbl>
    <w:p>
      <w:pPr>
        <w:spacing w:after="0" w:before="160"/>
      </w:pPr>
    </w:p>
    <w:p>
      <w:pPr>
        <w:pStyle w:val="Heading3"/>
        <w:spacing w:after="80" w:before="200"/>
      </w:pPr>
      <w:r>
        <w:rPr>
          <w:rFonts w:ascii="Arial" w:cs="Arial" w:eastAsia="Arial" w:hAnsi="Arial"/>
          <w:b/>
          <w:bCs/>
          <w:color w:val="2C2C2E"/>
          <w:sz w:val="23"/>
          <w:szCs w:val="23"/>
        </w:rPr>
        <w:t xml:space="preserve">3.4 Node system</w:t>
      </w:r>
    </w:p>
    <w:p>
      <w:pPr>
        <w:spacing w:after="120" w:line="336"/>
      </w:pPr>
      <w:r>
        <w:rPr>
          <w:rFonts w:ascii="Arial" w:cs="Arial" w:eastAsia="Arial" w:hAnsi="Arial"/>
          <w:color w:val="4A4A4F"/>
          <w:sz w:val="21"/>
          <w:szCs w:val="21"/>
        </w:rPr>
        <w:t xml:space="preserve">Every node is a @register_node Python class with typed input, output, and config schemas. Nodes are categorised by their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Category</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Examples</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Retry policy</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I/O &amp; External fetch</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fetch_prices, sync_gmail</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Transient errors — max 3 retries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Deterministic compute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compute_metrics, build_daily_series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 retry — deterministic</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Data mutation / persist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ingest_transactions, save_prices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Bounded 1–2, idempotent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Human-in-the-Loop</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human_decision, compliance_review</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Timeout-escalation</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Policy / governance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evaluate_policies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 retry — deterministic</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LLM / inference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extract_insights, generate_report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Bounded retry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3A3C" w:sz="6"/>
              <w:left w:val="single" w:color="3A3A3C" w:sz="12"/>
              <w:bottom w:val="nil" w:color="FFFFFF" w:sz="0"/>
              <w:right w:val="nil" w:color="FFFFFF" w:sz="0"/>
            </w:tcBorders>
            <w:shd w:fill="F5F5F5" w:val="clear"/>
            <w:tcMar>
              <w:top w:type="dxa" w:w="120"/>
              <w:left w:type="dxa" w:w="200"/>
              <w:bottom w:type="dxa" w:w="120"/>
              <w:right w:type="dxa" w:w="200"/>
            </w:tcMar>
          </w:tcPr>
          <w:p>
            <w:r>
              <w:rPr>
                <w:rFonts w:ascii="Arial" w:cs="Arial" w:eastAsia="Arial" w:hAnsi="Arial"/>
                <w:b/>
                <w:bCs/>
                <w:color w:val="3A3A3C"/>
                <w:sz w:val="18"/>
                <w:szCs w:val="18"/>
              </w:rPr>
              <w:t xml:space="preserve">Async nodes</w:t>
            </w:r>
          </w:p>
          <w:p>
            <w:pPr>
              <w:spacing w:line="320"/>
            </w:pPr>
            <w:r>
              <w:rPr>
                <w:rFonts w:ascii="Arial" w:cs="Arial" w:eastAsia="Arial" w:hAnsi="Arial"/>
                <w:color w:val="4A4A4F"/>
                <w:sz w:val="20"/>
                <w:szCs w:val="20"/>
              </w:rPr>
              <w:t xml:space="preserve">Nodes marked is_async=True run in Celery. LangGraph pauses the graph, Celery executes the node, then calls GraphClient.resume_thread() with the result. The graph is resumable across restarts.</w:t>
            </w:r>
          </w:p>
        </w:tc>
      </w:tr>
    </w:tbl>
    <w:p>
      <w:pPr>
        <w:spacing w:after="0" w:before="160"/>
      </w:pPr>
    </w:p>
    <w:p>
      <w:pPr>
        <w:pStyle w:val="Heading1"/>
      </w:pPr>
      <w:r>
        <w:rPr>
          <w:rFonts w:ascii="Arial" w:cs="Arial" w:eastAsia="Arial" w:hAnsi="Arial"/>
          <w:b/>
          <w:bCs/>
          <w:color w:val="1C1C1E"/>
          <w:sz w:val="36"/>
          <w:szCs w:val="36"/>
        </w:rPr>
        <w:t xml:space="preserve">4. Human-in-the-loop (HITL)</w:t>
      </w:r>
    </w:p>
    <w:p>
      <w:pPr>
        <w:spacing w:after="120" w:line="336"/>
      </w:pPr>
      <w:r>
        <w:rPr>
          <w:rFonts w:ascii="Arial" w:cs="Arial" w:eastAsia="Arial" w:hAnsi="Arial"/>
          <w:color w:val="4A4A4F"/>
          <w:sz w:val="21"/>
          <w:szCs w:val="21"/>
        </w:rPr>
        <w:t xml:space="preserve">Humans are modelled as graph nodes — not as exceptions or callbacks. HITL is a first-class workflow state. A human taking 24 hours to approve is the process working correctly, not a timeout error.</w:t>
      </w:r>
    </w:p>
    <w:p>
      <w:pPr>
        <w:spacing w:after="0" w:before="80"/>
      </w:pPr>
    </w:p>
    <w:p>
      <w:pPr>
        <w:pStyle w:val="Heading3"/>
        <w:spacing w:after="80" w:before="200"/>
      </w:pPr>
      <w:r>
        <w:rPr>
          <w:rFonts w:ascii="Arial" w:cs="Arial" w:eastAsia="Arial" w:hAnsi="Arial"/>
          <w:b/>
          <w:bCs/>
          <w:color w:val="2C2C2E"/>
          <w:sz w:val="23"/>
          <w:szCs w:val="23"/>
        </w:rPr>
        <w:t xml:space="preserve">4.1 HITL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Step</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Detail</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1</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Graph pause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Graph reaches HumanDecisionNode. interrupt_before pauses LangGraph execution.</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2</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Status update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WorkflowRun status → waiting_for_input. SSE event pushed to frontend.</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3</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Frontend review</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Advisor sees evidence, metrics, and policy outcomes in the Decision Trace UI.</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4</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Submit decision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POST /api/runs/{id}/steps/human_decision/submit/ with action and justification.</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5</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HumanAction record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Django creates HumanAction: actor, action, reason_code, justification, timestamp. Immutable.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6</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Resume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GraphClient.resume_thread() — graph continues from the paused node.</w:t>
            </w:r>
          </w:p>
        </w:tc>
      </w:tr>
    </w:tbl>
    <w:p>
      <w:pPr>
        <w:spacing w:after="0" w:before="120"/>
      </w:pPr>
    </w:p>
    <w:p>
      <w:pPr>
        <w:pStyle w:val="Heading3"/>
        <w:spacing w:after="80" w:before="200"/>
      </w:pPr>
      <w:r>
        <w:rPr>
          <w:rFonts w:ascii="Arial" w:cs="Arial" w:eastAsia="Arial" w:hAnsi="Arial"/>
          <w:b/>
          <w:bCs/>
          <w:color w:val="2C2C2E"/>
          <w:sz w:val="23"/>
          <w:szCs w:val="23"/>
        </w:rPr>
        <w:t xml:space="preserve">4.2 Decision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APPROVED</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Graph proceeds to next node normally. Decision recorded.</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REJECTED</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Abort + trigger compensation workflow for partial commits.</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ESCALATED</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Route to senior reviewer — creates a new HITL node at higher authority level.</w:t>
            </w:r>
          </w:p>
        </w:tc>
      </w:tr>
    </w:tbl>
    <w:p>
      <w:pPr>
        <w:spacing w:after="0" w:before="160"/>
      </w:pPr>
    </w:p>
    <w:p>
      <w:pPr>
        <w:pStyle w:val="Heading1"/>
      </w:pPr>
      <w:r>
        <w:rPr>
          <w:rFonts w:ascii="Arial" w:cs="Arial" w:eastAsia="Arial" w:hAnsi="Arial"/>
          <w:b/>
          <w:bCs/>
          <w:color w:val="1C1C1E"/>
          <w:sz w:val="36"/>
          <w:szCs w:val="36"/>
        </w:rPr>
        <w:t xml:space="preserve">5. Decision memory and compliance</w:t>
      </w:r>
    </w:p>
    <w:p>
      <w:pPr>
        <w:spacing w:after="120" w:line="336"/>
      </w:pPr>
      <w:r>
        <w:rPr>
          <w:rFonts w:ascii="Arial" w:cs="Arial" w:eastAsia="Arial" w:hAnsi="Arial"/>
          <w:color w:val="4A4A4F"/>
          <w:sz w:val="21"/>
          <w:szCs w:val="21"/>
        </w:rPr>
        <w:t xml:space="preserve">Every automated decision has a structured evidence chain — not just a log entry. This enables deterministic replay: the ability to reproduce exactly what the system saw, years later. This is a hard regulatory requirement in finance and increasingly in other regulated sectors.</w:t>
      </w:r>
    </w:p>
    <w:p>
      <w:pPr>
        <w:spacing w:after="0" w:before="80"/>
      </w:pPr>
    </w:p>
    <w:p>
      <w:pPr>
        <w:pStyle w:val="Heading3"/>
        <w:spacing w:after="80" w:before="200"/>
      </w:pPr>
      <w:r>
        <w:rPr>
          <w:rFonts w:ascii="Arial" w:cs="Arial" w:eastAsia="Arial" w:hAnsi="Arial"/>
          <w:b/>
          <w:bCs/>
          <w:color w:val="2C2C2E"/>
          <w:sz w:val="23"/>
          <w:szCs w:val="23"/>
        </w:rPr>
        <w:t xml:space="preserve">5.1 What gets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Record</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Content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DecisionPoint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Options generated, option selected, decision basis, quality signals. Primary audit artefact.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PolicyEvaluation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Per-rule outcome: PASS / WARN / FAIL / REQUIRES_APPROVAL with evidence references and rule details.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HumanAction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Who approved/overrode. Actor, action type, reason code, free-text justification, timestamp. Immutable.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MemoryPayload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Content-addressed blob store. Referenced by hash — never inlined. PII classification, schema version.</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ToolCall</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MCP tool execution record. Server, tool name, latency, permissions context, data scope per call.</w:t>
            </w:r>
          </w:p>
        </w:tc>
      </w:tr>
    </w:tbl>
    <w:p>
      <w:pPr>
        <w:spacing w:after="0" w:before="120"/>
      </w:pPr>
    </w:p>
    <w:p>
      <w:pPr>
        <w:pStyle w:val="Heading3"/>
        <w:spacing w:after="80" w:before="200"/>
      </w:pPr>
      <w:r>
        <w:rPr>
          <w:rFonts w:ascii="Arial" w:cs="Arial" w:eastAsia="Arial" w:hAnsi="Arial"/>
          <w:b/>
          <w:bCs/>
          <w:color w:val="2C2C2E"/>
          <w:sz w:val="23"/>
          <w:szCs w:val="23"/>
        </w:rPr>
        <w:t xml:space="preserve">5.2 What is intentionally NOT stored</w:t>
      </w:r>
    </w:p>
    <w:p>
      <w:pPr>
        <w:spacing w:after="120" w:line="336"/>
      </w:pPr>
      <w:r>
        <w:rPr>
          <w:rFonts w:ascii="Arial" w:cs="Arial" w:eastAsia="Arial" w:hAnsi="Arial"/>
          <w:color w:val="4A4A4F"/>
          <w:sz w:val="21"/>
          <w:szCs w:val="21"/>
        </w:rPr>
        <w:t xml:space="preserve">The following are deliberately excluded from the audit trail to keep the record clean, deterministic, and free of non-reproducible artifacts:</w:t>
      </w:r>
    </w:p>
    <w:p>
      <w:pPr>
        <w:pStyle w:val="ListParagraph"/>
        <w:numPr>
          <w:ilvl w:val="0"/>
          <w:numId w:val="2"/>
        </w:numPr>
        <w:spacing w:after="60"/>
      </w:pPr>
      <w:r>
        <w:rPr>
          <w:rFonts w:ascii="Arial" w:cs="Arial" w:eastAsia="Arial" w:hAnsi="Arial"/>
          <w:color w:val="4A4A4F"/>
          <w:sz w:val="20"/>
          <w:szCs w:val="20"/>
        </w:rPr>
        <w:t xml:space="preserve">LLM chain-of-thought and raw prompts</w:t>
      </w:r>
    </w:p>
    <w:p>
      <w:pPr>
        <w:pStyle w:val="ListParagraph"/>
        <w:numPr>
          <w:ilvl w:val="0"/>
          <w:numId w:val="2"/>
        </w:numPr>
        <w:spacing w:after="60"/>
      </w:pPr>
      <w:r>
        <w:rPr>
          <w:rFonts w:ascii="Arial" w:cs="Arial" w:eastAsia="Arial" w:hAnsi="Arial"/>
          <w:color w:val="4A4A4F"/>
          <w:sz w:val="20"/>
          <w:szCs w:val="20"/>
        </w:rPr>
        <w:t xml:space="preserve">AI confidence scores</w:t>
      </w:r>
    </w:p>
    <w:p>
      <w:pPr>
        <w:pStyle w:val="ListParagraph"/>
        <w:numPr>
          <w:ilvl w:val="0"/>
          <w:numId w:val="2"/>
        </w:numPr>
        <w:spacing w:after="60"/>
      </w:pPr>
      <w:r>
        <w:rPr>
          <w:rFonts w:ascii="Arial" w:cs="Arial" w:eastAsia="Arial" w:hAnsi="Arial"/>
          <w:color w:val="4A4A4F"/>
          <w:sz w:val="20"/>
          <w:szCs w:val="20"/>
        </w:rPr>
        <w:t xml:space="preserve">Embedding vectors</w:t>
      </w:r>
    </w:p>
    <w:p>
      <w:pPr>
        <w:pStyle w:val="ListParagraph"/>
        <w:numPr>
          <w:ilvl w:val="0"/>
          <w:numId w:val="2"/>
        </w:numPr>
        <w:spacing w:after="60"/>
      </w:pPr>
      <w:r>
        <w:rPr>
          <w:rFonts w:ascii="Arial" w:cs="Arial" w:eastAsia="Arial" w:hAnsi="Arial"/>
          <w:color w:val="4A4A4F"/>
          <w:sz w:val="20"/>
          <w:szCs w:val="20"/>
        </w:rPr>
        <w:t xml:space="preserve">Session tokens</w:t>
      </w:r>
    </w:p>
    <w:p>
      <w:pPr>
        <w:spacing w:after="0" w:before="120"/>
      </w:pPr>
    </w:p>
    <w:p>
      <w:pPr>
        <w:pStyle w:val="Heading3"/>
        <w:spacing w:after="80" w:before="200"/>
      </w:pPr>
      <w:r>
        <w:rPr>
          <w:rFonts w:ascii="Arial" w:cs="Arial" w:eastAsia="Arial" w:hAnsi="Arial"/>
          <w:b/>
          <w:bCs/>
          <w:color w:val="2C2C2E"/>
          <w:sz w:val="23"/>
          <w:szCs w:val="23"/>
        </w:rPr>
        <w:t xml:space="preserve">5.3 Deterministic replay</w:t>
      </w:r>
    </w:p>
    <w:p>
      <w:pPr>
        <w:spacing w:after="120" w:line="336"/>
      </w:pPr>
      <w:r>
        <w:rPr>
          <w:rFonts w:ascii="Arial" w:cs="Arial" w:eastAsia="Arial" w:hAnsi="Arial"/>
          <w:color w:val="4A4A4F"/>
          <w:sz w:val="21"/>
          <w:szCs w:val="21"/>
        </w:rPr>
        <w:t xml:space="preserve">For every decision, Nexara pins the following at run time so the decision can be fully reconstructed later:</w:t>
      </w:r>
    </w:p>
    <w:p>
      <w:pPr>
        <w:pStyle w:val="ListParagraph"/>
        <w:numPr>
          <w:ilvl w:val="0"/>
          <w:numId w:val="2"/>
        </w:numPr>
        <w:spacing w:after="60"/>
      </w:pPr>
      <w:r>
        <w:rPr>
          <w:rFonts w:ascii="Arial" w:cs="Arial" w:eastAsia="Arial" w:hAnsi="Arial"/>
          <w:color w:val="4A4A4F"/>
          <w:sz w:val="20"/>
          <w:szCs w:val="20"/>
        </w:rPr>
        <w:t xml:space="preserve">Graph version: WorkflowTemplate (code, version) — immutable</w:t>
      </w:r>
    </w:p>
    <w:p>
      <w:pPr>
        <w:pStyle w:val="ListParagraph"/>
        <w:numPr>
          <w:ilvl w:val="0"/>
          <w:numId w:val="2"/>
        </w:numPr>
        <w:spacing w:after="60"/>
      </w:pPr>
      <w:r>
        <w:rPr>
          <w:rFonts w:ascii="Arial" w:cs="Arial" w:eastAsia="Arial" w:hAnsi="Arial"/>
          <w:color w:val="4A4A4F"/>
          <w:sz w:val="20"/>
          <w:szCs w:val="20"/>
        </w:rPr>
        <w:t xml:space="preserve">Policy set version: which rules were active at time of run</w:t>
      </w:r>
    </w:p>
    <w:p>
      <w:pPr>
        <w:pStyle w:val="ListParagraph"/>
        <w:numPr>
          <w:ilvl w:val="0"/>
          <w:numId w:val="2"/>
        </w:numPr>
        <w:spacing w:after="60"/>
      </w:pPr>
      <w:r>
        <w:rPr>
          <w:rFonts w:ascii="Arial" w:cs="Arial" w:eastAsia="Arial" w:hAnsi="Arial"/>
          <w:color w:val="4A4A4F"/>
          <w:sz w:val="20"/>
          <w:szCs w:val="20"/>
        </w:rPr>
        <w:t xml:space="preserve">Tool versions: each MCP tool version used during execution</w:t>
      </w:r>
    </w:p>
    <w:p>
      <w:pPr>
        <w:pStyle w:val="ListParagraph"/>
        <w:numPr>
          <w:ilvl w:val="0"/>
          <w:numId w:val="2"/>
        </w:numPr>
        <w:spacing w:after="60"/>
      </w:pPr>
      <w:r>
        <w:rPr>
          <w:rFonts w:ascii="Arial" w:cs="Arial" w:eastAsia="Arial" w:hAnsi="Arial"/>
          <w:color w:val="4A4A4F"/>
          <w:sz w:val="20"/>
          <w:szCs w:val="20"/>
        </w:rPr>
        <w:t xml:space="preserve">Iceberg snapshot IDs: exact market data snapshot — never 'latest'</w:t>
      </w:r>
    </w:p>
    <w:p>
      <w:pPr>
        <w:pStyle w:val="ListParagraph"/>
        <w:numPr>
          <w:ilvl w:val="0"/>
          <w:numId w:val="2"/>
        </w:numPr>
        <w:spacing w:after="60"/>
      </w:pPr>
      <w:r>
        <w:rPr>
          <w:rFonts w:ascii="Arial" w:cs="Arial" w:eastAsia="Arial" w:hAnsi="Arial"/>
          <w:color w:val="4A4A4F"/>
          <w:sz w:val="20"/>
          <w:szCs w:val="20"/>
        </w:rPr>
        <w:t xml:space="preserve">Human approvals: actor, timestamp, justification — tamper-evident</w:t>
      </w:r>
    </w:p>
    <w:p>
      <w:pPr>
        <w:pStyle w:val="ListParagraph"/>
        <w:numPr>
          <w:ilvl w:val="0"/>
          <w:numId w:val="2"/>
        </w:numPr>
        <w:spacing w:after="60"/>
      </w:pPr>
      <w:r>
        <w:rPr>
          <w:rFonts w:ascii="Arial" w:cs="Arial" w:eastAsia="Arial" w:hAnsi="Arial"/>
          <w:color w:val="4A4A4F"/>
          <w:sz w:val="20"/>
          <w:szCs w:val="20"/>
        </w:rPr>
        <w:t xml:space="preserve">Input parameters: all inputs that determined the decision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3A3C" w:sz="6"/>
              <w:left w:val="single" w:color="3A3A3C" w:sz="12"/>
              <w:bottom w:val="nil" w:color="FFFFFF" w:sz="0"/>
              <w:right w:val="nil" w:color="FFFFFF" w:sz="0"/>
            </w:tcBorders>
            <w:shd w:fill="F5F5F5" w:val="clear"/>
            <w:tcMar>
              <w:top w:type="dxa" w:w="120"/>
              <w:left w:type="dxa" w:w="200"/>
              <w:bottom w:type="dxa" w:w="120"/>
              <w:right w:type="dxa" w:w="200"/>
            </w:tcMar>
          </w:tcPr>
          <w:p>
            <w:r>
              <w:rPr>
                <w:rFonts w:ascii="Arial" w:cs="Arial" w:eastAsia="Arial" w:hAnsi="Arial"/>
                <w:b/>
                <w:bCs/>
                <w:color w:val="3A3A3C"/>
                <w:sz w:val="18"/>
                <w:szCs w:val="18"/>
              </w:rPr>
              <w:t xml:space="preserve">Replay constraints (non-negotiable)</w:t>
            </w:r>
          </w:p>
          <w:p>
            <w:pPr>
              <w:spacing w:line="320"/>
            </w:pPr>
            <w:r>
              <w:rPr>
                <w:rFonts w:ascii="Arial" w:cs="Arial" w:eastAsia="Arial" w:hAnsi="Arial"/>
                <w:color w:val="4A4A4F"/>
                <w:sz w:val="20"/>
                <w:szCs w:val="20"/>
              </w:rPr>
              <w:t xml:space="preserve">Replay is always read-only. No side effects, no retries, no compensation workflows, no production writes. Always reads from pinned Iceberg snapshot IDs. Creates a separate replay record — original is untouched.</w:t>
            </w:r>
          </w:p>
        </w:tc>
      </w:tr>
    </w:tbl>
    <w:p>
      <w:pPr>
        <w:spacing w:after="0" w:before="160"/>
      </w:pPr>
    </w:p>
    <w:p>
      <w:pPr>
        <w:pStyle w:val="Heading1"/>
      </w:pPr>
      <w:r>
        <w:rPr>
          <w:rFonts w:ascii="Arial" w:cs="Arial" w:eastAsia="Arial" w:hAnsi="Arial"/>
          <w:b/>
          <w:bCs/>
          <w:color w:val="1C1C1E"/>
          <w:sz w:val="36"/>
          <w:szCs w:val="36"/>
        </w:rPr>
        <w:t xml:space="preserve">6. Multi-sector expansion</w:t>
      </w:r>
    </w:p>
    <w:p>
      <w:pPr>
        <w:spacing w:after="120" w:line="336"/>
      </w:pPr>
      <w:r>
        <w:rPr>
          <w:rFonts w:ascii="Arial" w:cs="Arial" w:eastAsia="Arial" w:hAnsi="Arial"/>
          <w:color w:val="4A4A4F"/>
          <w:sz w:val="21"/>
          <w:szCs w:val="21"/>
        </w:rPr>
        <w:t xml:space="preserve">Nexara's core engine — HITL, audit trail, replay, policy evaluation, multi-tenancy — is domain-agnostic. The expansion adds a sector concept on top of the existing architecture without changing any core component.</w:t>
      </w:r>
    </w:p>
    <w:p>
      <w:pPr>
        <w:spacing w:after="0" w:before="80"/>
      </w:pPr>
    </w:p>
    <w:p>
      <w:pPr>
        <w:pStyle w:val="Heading3"/>
        <w:spacing w:after="80" w:before="200"/>
      </w:pPr>
      <w:r>
        <w:rPr>
          <w:rFonts w:ascii="Arial" w:cs="Arial" w:eastAsia="Arial" w:hAnsi="Arial"/>
          <w:b/>
          <w:bCs/>
          <w:color w:val="2C2C2E"/>
          <w:sz w:val="23"/>
          <w:szCs w:val="23"/>
        </w:rPr>
        <w:t xml:space="preserve">6.1 Why multi-sector is viable</w:t>
      </w:r>
    </w:p>
    <w:p>
      <w:pPr>
        <w:spacing w:after="120" w:line="336"/>
      </w:pPr>
      <w:r>
        <w:rPr>
          <w:rFonts w:ascii="Arial" w:cs="Arial" w:eastAsia="Arial" w:hAnsi="Arial"/>
          <w:color w:val="4A4A4F"/>
          <w:sz w:val="21"/>
          <w:szCs w:val="21"/>
        </w:rPr>
        <w:t xml:space="preserve">Three properties of the existing architecture make multi-sector a natural extension rather than a rewrite:</w:t>
      </w:r>
    </w:p>
    <w:p>
      <w:pPr>
        <w:pStyle w:val="ListParagraph"/>
        <w:numPr>
          <w:ilvl w:val="0"/>
          <w:numId w:val="2"/>
        </w:numPr>
        <w:spacing w:after="60"/>
      </w:pPr>
      <w:r>
        <w:rPr>
          <w:rFonts w:ascii="Arial" w:cs="Arial" w:eastAsia="Arial" w:hAnsi="Arial"/>
          <w:color w:val="4A4A4F"/>
          <w:sz w:val="20"/>
          <w:szCs w:val="20"/>
        </w:rPr>
        <w:t xml:space="preserve">Multi-tenancy is already enforced at the ORM level. Adding a sector field to Tenant does not change the isolation model.</w:t>
      </w:r>
    </w:p>
    <w:p>
      <w:pPr>
        <w:pStyle w:val="ListParagraph"/>
        <w:numPr>
          <w:ilvl w:val="0"/>
          <w:numId w:val="2"/>
        </w:numPr>
        <w:spacing w:after="60"/>
      </w:pPr>
      <w:r>
        <w:rPr>
          <w:rFonts w:ascii="Arial" w:cs="Arial" w:eastAsia="Arial" w:hAnsi="Arial"/>
          <w:color w:val="4A4A4F"/>
          <w:sz w:val="20"/>
          <w:szCs w:val="20"/>
        </w:rPr>
        <w:t xml:space="preserve">The node registry (@register_node) already supports arbitrary parameters. Adding sectors=[...] limits node availability per sector without changing the execution engine.</w:t>
      </w:r>
    </w:p>
    <w:p>
      <w:pPr>
        <w:pStyle w:val="ListParagraph"/>
        <w:numPr>
          <w:ilvl w:val="0"/>
          <w:numId w:val="2"/>
        </w:numPr>
        <w:spacing w:after="60"/>
      </w:pPr>
      <w:r>
        <w:rPr>
          <w:rFonts w:ascii="Arial" w:cs="Arial" w:eastAsia="Arial" w:hAnsi="Arial"/>
          <w:color w:val="4A4A4F"/>
          <w:sz w:val="20"/>
          <w:szCs w:val="20"/>
        </w:rPr>
        <w:t xml:space="preserve">TenantWorkflowConfig already allows per-tenant graph forks. Sector-level workflow templates extend this pattern one level up.</w:t>
      </w:r>
    </w:p>
    <w:p>
      <w:pPr>
        <w:spacing w:after="0" w:before="120"/>
      </w:pPr>
    </w:p>
    <w:p>
      <w:pPr>
        <w:pStyle w:val="Heading3"/>
        <w:spacing w:after="80" w:before="200"/>
      </w:pPr>
      <w:r>
        <w:rPr>
          <w:rFonts w:ascii="Arial" w:cs="Arial" w:eastAsia="Arial" w:hAnsi="Arial"/>
          <w:b/>
          <w:bCs/>
          <w:color w:val="2C2C2E"/>
          <w:sz w:val="23"/>
          <w:szCs w:val="23"/>
        </w:rPr>
        <w:t xml:space="preserve">6.2 Sector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Sector</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Key domains</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Primary compliance driver</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C1C1E"/>
                <w:sz w:val="20"/>
                <w:szCs w:val="20"/>
              </w:rPr>
              <w:t xml:space="preserve">Finance (built)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Portfolios, clients, instruments, transactions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MiFID II, SEBI, FINRA-style audit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Healthcare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Patients, prescriptions, claims, devices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HIPAA, FDA audit trails, IRB approvals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IT / Technology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Vendors, licenses, change requests, SLAs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ISO 27001, SOC 2, ITIL change management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Legal</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Contracts, cases, filings, IP</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Bar regulations, filing deadlines, conflict checks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Insurance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Claims, underwriting, fraud detection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IRDAI, NAIC, actuarial audit requirements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Education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Students, admissions, faculty, grants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FERPA, NAAC accreditation, IRB</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Government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Tenders, grants, policy changes, RTI</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CAG audit, public procurement rules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Manufacturing</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Quality control, ISO certifications, equipment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ISO 9001, GMP, equipment safety</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Energy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ESG reporting, carbon credits, permits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SEBI ESG, GRI standards, regulatory NOCs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Telecom</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Spectrum licenses, subscriber data, content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TRAI, FCC, data localisation</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Real estate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Deal approvals, loans, NOCs, tenant verification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RERA, stamp duty compliance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Logistics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Procurement, customs, warehouse quality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Customs Act, ISO supply chain standards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HR / People ops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Hiring, payroll, performance reviews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Labour law, PF/ESI compliance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Retail / E-commerce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Vendor onboarding, fraud, returns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Consumer protection, GST audit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Cybersecurity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Incidents, vulnerability approvals, access reviews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ISO 27001, CERT-In notifications</w:t>
            </w:r>
          </w:p>
        </w:tc>
      </w:tr>
    </w:tbl>
    <w:p>
      <w:pPr>
        <w:spacing w:after="0" w:before="160"/>
      </w:pPr>
    </w:p>
    <w:p>
      <w:pPr>
        <w:pStyle w:val="Heading1"/>
      </w:pPr>
      <w:r>
        <w:rPr>
          <w:rFonts w:ascii="Arial" w:cs="Arial" w:eastAsia="Arial" w:hAnsi="Arial"/>
          <w:b/>
          <w:bCs/>
          <w:color w:val="1C1C1E"/>
          <w:sz w:val="36"/>
          <w:szCs w:val="36"/>
        </w:rPr>
        <w:t xml:space="preserve">7. Architecture changes for multi-sector</w:t>
      </w:r>
    </w:p>
    <w:p>
      <w:pPr>
        <w:spacing w:after="120" w:line="336"/>
      </w:pPr>
      <w:r>
        <w:rPr>
          <w:rFonts w:ascii="Arial" w:cs="Arial" w:eastAsia="Arial" w:hAnsi="Arial"/>
          <w:color w:val="4A4A4F"/>
          <w:sz w:val="21"/>
          <w:szCs w:val="21"/>
        </w:rPr>
        <w:t xml:space="preserve">The change is additive. The core engine — HITL, audit trail, replay, policy evaluation, Django brain, LangGraph executor, MCP interface — requires no modification. The work is in three areas: restructuring domains/, extending the node registry, and adding a new sectors/ package.</w:t>
      </w:r>
    </w:p>
    <w:p>
      <w:pPr>
        <w:spacing w:after="0" w:before="80"/>
      </w:pPr>
    </w:p>
    <w:p>
      <w:pPr>
        <w:pStyle w:val="Heading3"/>
        <w:spacing w:after="80" w:before="200"/>
      </w:pPr>
      <w:r>
        <w:rPr>
          <w:rFonts w:ascii="Arial" w:cs="Arial" w:eastAsia="Arial" w:hAnsi="Arial"/>
          <w:b/>
          <w:bCs/>
          <w:color w:val="2C2C2E"/>
          <w:sz w:val="23"/>
          <w:szCs w:val="23"/>
        </w:rPr>
        <w:t xml:space="preserve">7.1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Component</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Change required</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center"/>
            </w:pPr>
            <w:r>
              <w:rPr>
                <w:rFonts w:ascii="Arial" w:cs="Arial" w:eastAsia="Arial" w:hAnsi="Arial"/>
                <w:b/>
                <w:bCs/>
                <w:color w:val="2C2C2E"/>
                <w:sz w:val="19"/>
                <w:szCs w:val="19"/>
              </w:rPr>
              <w:t xml:space="preserve">Effort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2C2C2E"/>
                <w:sz w:val="19"/>
                <w:szCs w:val="19"/>
              </w:rPr>
              <w:t xml:space="preserve">platform/ — Tenant model</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4A4A4F"/>
                <w:sz w:val="19"/>
                <w:szCs w:val="19"/>
              </w:rPr>
              <w:t xml:space="preserve">Add sector field. SectorChoices enum.</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center"/>
            </w:pPr>
            <w:r>
              <w:rPr>
                <w:rFonts w:ascii="Arial" w:cs="Arial" w:eastAsia="Arial" w:hAnsi="Arial"/>
                <w:b/>
                <w:bCs/>
                <w:color w:val="398000"/>
                <w:sz w:val="19"/>
                <w:szCs w:val="19"/>
              </w:rPr>
              <w:t xml:space="preserve">Minimal</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2C2C2E"/>
                <w:sz w:val="19"/>
                <w:szCs w:val="19"/>
              </w:rPr>
              <w:t xml:space="preserve">domains/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4A4A4F"/>
                <w:sz w:val="19"/>
                <w:szCs w:val="19"/>
              </w:rPr>
              <w:t xml:space="preserve">Split into domains/finance/, domains/healthcare/, etc.</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center"/>
            </w:pPr>
            <w:r>
              <w:rPr>
                <w:rFonts w:ascii="Arial" w:cs="Arial" w:eastAsia="Arial" w:hAnsi="Arial"/>
                <w:b/>
                <w:bCs/>
                <w:color w:val="8E6000"/>
                <w:sz w:val="19"/>
                <w:szCs w:val="19"/>
              </w:rPr>
              <w:t xml:space="preserve">Medium</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2C2C2E"/>
                <w:sz w:val="19"/>
                <w:szCs w:val="19"/>
              </w:rPr>
              <w:t xml:space="preserve">engine/nodes/ — @register_node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4A4A4F"/>
                <w:sz w:val="19"/>
                <w:szCs w:val="19"/>
              </w:rPr>
              <w:t xml:space="preserve">Add sectors=[...] parameter to decorator.</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center"/>
            </w:pPr>
            <w:r>
              <w:rPr>
                <w:rFonts w:ascii="Arial" w:cs="Arial" w:eastAsia="Arial" w:hAnsi="Arial"/>
                <w:b/>
                <w:bCs/>
                <w:color w:val="398000"/>
                <w:sz w:val="19"/>
                <w:szCs w:val="19"/>
              </w:rPr>
              <w:t xml:space="preserve">Minimal</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2C2C2E"/>
                <w:sz w:val="19"/>
                <w:szCs w:val="19"/>
              </w:rPr>
              <w:t xml:space="preserve">engine/policies/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4A4A4F"/>
                <w:sz w:val="19"/>
                <w:szCs w:val="19"/>
              </w:rPr>
              <w:t xml:space="preserve">Split policy rule sets by sector.</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center"/>
            </w:pPr>
            <w:r>
              <w:rPr>
                <w:rFonts w:ascii="Arial" w:cs="Arial" w:eastAsia="Arial" w:hAnsi="Arial"/>
                <w:b/>
                <w:bCs/>
                <w:color w:val="8E6000"/>
                <w:sz w:val="19"/>
                <w:szCs w:val="19"/>
              </w:rPr>
              <w:t xml:space="preserve">Medium</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2C2C2E"/>
                <w:sz w:val="19"/>
                <w:szCs w:val="19"/>
              </w:rPr>
              <w:t xml:space="preserve">sectors/ (new package)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4A4A4F"/>
                <w:sz w:val="19"/>
                <w:szCs w:val="19"/>
              </w:rPr>
              <w:t xml:space="preserve">Registry: sector → workflows, nodes, policies.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center"/>
            </w:pPr>
            <w:r>
              <w:rPr>
                <w:rFonts w:ascii="Arial" w:cs="Arial" w:eastAsia="Arial" w:hAnsi="Arial"/>
                <w:b/>
                <w:bCs/>
                <w:color w:val="1A5C1A"/>
                <w:sz w:val="19"/>
                <w:szCs w:val="19"/>
              </w:rPr>
              <w:t xml:space="preserve">New</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2C2C2E"/>
                <w:sz w:val="19"/>
                <w:szCs w:val="19"/>
              </w:rPr>
              <w:t xml:space="preserve">engine/ core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4A4A4F"/>
                <w:sz w:val="19"/>
                <w:szCs w:val="19"/>
              </w:rPr>
              <w:t xml:space="preserve">No change required.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center"/>
            </w:pPr>
            <w:r>
              <w:rPr>
                <w:rFonts w:ascii="Arial" w:cs="Arial" w:eastAsia="Arial" w:hAnsi="Arial"/>
                <w:b/>
                <w:bCs/>
                <w:color w:val="1A5C1A"/>
                <w:sz w:val="19"/>
                <w:szCs w:val="19"/>
              </w:rPr>
              <w:t xml:space="preserve">Zero</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2C2C2E"/>
                <w:sz w:val="19"/>
                <w:szCs w:val="19"/>
              </w:rPr>
              <w:t xml:space="preserve">platform/ middleware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4A4A4F"/>
                <w:sz w:val="19"/>
                <w:szCs w:val="19"/>
              </w:rPr>
              <w:t xml:space="preserve">No change required.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center"/>
            </w:pPr>
            <w:r>
              <w:rPr>
                <w:rFonts w:ascii="Arial" w:cs="Arial" w:eastAsia="Arial" w:hAnsi="Arial"/>
                <w:b/>
                <w:bCs/>
                <w:color w:val="1A5C1A"/>
                <w:sz w:val="19"/>
                <w:szCs w:val="19"/>
              </w:rPr>
              <w:t xml:space="preserve">Zero</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2C2C2E"/>
                <w:sz w:val="19"/>
                <w:szCs w:val="19"/>
              </w:rPr>
              <w:t xml:space="preserve">Django + LangGraph + MCP</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4A4A4F"/>
                <w:sz w:val="19"/>
                <w:szCs w:val="19"/>
              </w:rPr>
              <w:t xml:space="preserve">No change required.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center"/>
            </w:pPr>
            <w:r>
              <w:rPr>
                <w:rFonts w:ascii="Arial" w:cs="Arial" w:eastAsia="Arial" w:hAnsi="Arial"/>
                <w:b/>
                <w:bCs/>
                <w:color w:val="1A5C1A"/>
                <w:sz w:val="19"/>
                <w:szCs w:val="19"/>
              </w:rPr>
              <w:t xml:space="preserve">Zero</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2C2C2E"/>
                <w:sz w:val="19"/>
                <w:szCs w:val="19"/>
              </w:rPr>
              <w:t xml:space="preserve">HITL, audit trail, replay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4A4A4F"/>
                <w:sz w:val="19"/>
                <w:szCs w:val="19"/>
              </w:rPr>
              <w:t xml:space="preserve">No change required.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center"/>
            </w:pPr>
            <w:r>
              <w:rPr>
                <w:rFonts w:ascii="Arial" w:cs="Arial" w:eastAsia="Arial" w:hAnsi="Arial"/>
                <w:b/>
                <w:bCs/>
                <w:color w:val="1A5C1A"/>
                <w:sz w:val="19"/>
                <w:szCs w:val="19"/>
              </w:rPr>
              <w:t xml:space="preserve">Zero</w:t>
            </w:r>
          </w:p>
        </w:tc>
      </w:tr>
    </w:tbl>
    <w:p>
      <w:pPr>
        <w:spacing w:after="0" w:before="120"/>
      </w:pPr>
    </w:p>
    <w:p>
      <w:pPr>
        <w:pStyle w:val="Heading3"/>
        <w:spacing w:after="80" w:before="200"/>
      </w:pPr>
      <w:r>
        <w:rPr>
          <w:rFonts w:ascii="Arial" w:cs="Arial" w:eastAsia="Arial" w:hAnsi="Arial"/>
          <w:b/>
          <w:bCs/>
          <w:color w:val="2C2C2E"/>
          <w:sz w:val="23"/>
          <w:szCs w:val="23"/>
        </w:rPr>
        <w:t xml:space="preserve">7.2 Revised project structure</w:t>
      </w:r>
    </w:p>
    <w:p>
      <w:pPr>
        <w:spacing w:after="120" w:line="336"/>
      </w:pPr>
      <w:r>
        <w:rPr>
          <w:rFonts w:ascii="Arial" w:cs="Arial" w:eastAsia="Arial" w:hAnsi="Arial"/>
          <w:color w:val="4A4A4F"/>
          <w:sz w:val="21"/>
          <w:szCs w:val="21"/>
        </w:rPr>
        <w:t xml:space="preserve">After the multi-sector refactor, the project tree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color="FFFFFF" w:sz="0"/>
              <w:left w:val="nil" w:color="FFFFFF" w:sz="0"/>
              <w:bottom w:val="nil" w:color="FFFFFF" w:sz="0"/>
              <w:right w:val="nil" w:color="FFFFFF" w:sz="0"/>
            </w:tcBorders>
            <w:shd w:fill="F5F5F5" w:val="clear"/>
            <w:tcMar>
              <w:top w:type="dxa" w:w="120"/>
              <w:left w:type="dxa" w:w="200"/>
              <w:bottom w:type="dxa" w:w="120"/>
              <w:right w:type="dxa" w:w="200"/>
            </w:tcMar>
          </w:tcPr>
          <w:p>
            <w:r>
              <w:rPr>
                <w:rFonts w:ascii="Courier New" w:cs="Courier New" w:eastAsia="Courier New" w:hAnsi="Courier New"/>
                <w:b/>
                <w:bCs/>
                <w:color w:val="1C1C1E"/>
                <w:sz w:val="19"/>
                <w:szCs w:val="19"/>
              </w:rPr>
              <w:t xml:space="preserve">nexara_platform/</w:t>
            </w:r>
          </w:p>
          <w:p>
            <w:r>
              <w:rPr>
                <w:rFonts w:ascii="Courier New" w:cs="Courier New" w:eastAsia="Courier New" w:hAnsi="Courier New"/>
                <w:color w:val="4A4A4F"/>
                <w:sz w:val="18"/>
                <w:szCs w:val="18"/>
              </w:rPr>
              <w:t xml:space="preserve">├── config/          settings, urls, celery</w:t>
            </w:r>
          </w:p>
          <w:p>
            <w:r>
              <w:rPr>
                <w:rFonts w:ascii="Courier New" w:cs="Courier New" w:eastAsia="Courier New" w:hAnsi="Courier New"/>
                <w:color w:val="4A4A4F"/>
                <w:sz w:val="18"/>
                <w:szCs w:val="18"/>
              </w:rPr>
              <w:t xml:space="preserve">├── platform/        tenants (+sector field), users, iam</w:t>
            </w:r>
          </w:p>
          <w:p>
            <w:r>
              <w:rPr>
                <w:rFonts w:ascii="Courier New" w:cs="Courier New" w:eastAsia="Courier New" w:hAnsi="Courier New"/>
                <w:color w:val="4A4A4F"/>
                <w:sz w:val="18"/>
                <w:szCs w:val="18"/>
              </w:rPr>
              <w:t xml:space="preserve">├── data/            shared reference data (unchanged)</w:t>
            </w:r>
          </w:p>
          <w:p>
            <w:r>
              <w:rPr>
                <w:rFonts w:ascii="Courier New" w:cs="Courier New" w:eastAsia="Courier New" w:hAnsi="Courier New"/>
                <w:color w:val="1C1C1E"/>
                <w:sz w:val="18"/>
                <w:szCs w:val="18"/>
              </w:rPr>
              <w:t xml:space="preserve">├── domains/         split by sector ← main change</w:t>
            </w:r>
          </w:p>
          <w:p>
            <w:r>
              <w:rPr>
                <w:rFonts w:ascii="Courier New" w:cs="Courier New" w:eastAsia="Courier New" w:hAnsi="Courier New"/>
                <w:color w:val="4A4A4F"/>
                <w:sz w:val="18"/>
                <w:szCs w:val="18"/>
              </w:rPr>
              <w:t xml:space="preserve">│   ├── finance/      portfolios, clients, instruments</w:t>
            </w:r>
          </w:p>
          <w:p>
            <w:r>
              <w:rPr>
                <w:rFonts w:ascii="Courier New" w:cs="Courier New" w:eastAsia="Courier New" w:hAnsi="Courier New"/>
                <w:color w:val="4A4A4F"/>
                <w:sz w:val="18"/>
                <w:szCs w:val="18"/>
              </w:rPr>
              <w:t xml:space="preserve">│   ├── healthcare/   patients, prescriptions, claims</w:t>
            </w:r>
          </w:p>
          <w:p>
            <w:r>
              <w:rPr>
                <w:rFonts w:ascii="Courier New" w:cs="Courier New" w:eastAsia="Courier New" w:hAnsi="Courier New"/>
                <w:color w:val="4A4A4F"/>
                <w:sz w:val="18"/>
                <w:szCs w:val="18"/>
              </w:rPr>
              <w:t xml:space="preserve">│   ├── it/           vendors, licenses, changes</w:t>
            </w:r>
          </w:p>
          <w:p>
            <w:r>
              <w:rPr>
                <w:rFonts w:ascii="Courier New" w:cs="Courier New" w:eastAsia="Courier New" w:hAnsi="Courier New"/>
                <w:color w:val="4A4A4F"/>
                <w:sz w:val="18"/>
                <w:szCs w:val="18"/>
              </w:rPr>
              <w:t xml:space="preserve">│   └── legal/        contracts, cases, filings</w:t>
            </w:r>
          </w:p>
          <w:p>
            <w:r>
              <w:rPr>
                <w:rFonts w:ascii="Courier New" w:cs="Courier New" w:eastAsia="Courier New" w:hAnsi="Courier New"/>
                <w:color w:val="4A4A4F"/>
                <w:sz w:val="18"/>
                <w:szCs w:val="18"/>
              </w:rPr>
              <w:t xml:space="preserve">├── engine/          sector-aware node registry (minor addition)</w:t>
            </w:r>
          </w:p>
          <w:p>
            <w:r>
              <w:rPr>
                <w:rFonts w:ascii="Courier New" w:cs="Courier New" w:eastAsia="Courier New" w:hAnsi="Courier New"/>
                <w:color w:val="1C1C1E"/>
                <w:sz w:val="18"/>
                <w:szCs w:val="18"/>
              </w:rPr>
              <w:t xml:space="preserve">└── sectors/         NEW: sector registry &amp; config</w:t>
            </w:r>
          </w:p>
          <w:p>
            <w:r>
              <w:rPr>
                <w:rFonts w:ascii="Courier New" w:cs="Courier New" w:eastAsia="Courier New" w:hAnsi="Courier New"/>
                <w:color w:val="4A4A4F"/>
                <w:sz w:val="18"/>
                <w:szCs w:val="18"/>
              </w:rPr>
              <w:t xml:space="preserve">    ├── registry.py  maps sector → workflows, nodes, policies</w:t>
            </w:r>
          </w:p>
          <w:p>
            <w:r>
              <w:rPr>
                <w:rFonts w:ascii="Courier New" w:cs="Courier New" w:eastAsia="Courier New" w:hAnsi="Courier New"/>
                <w:color w:val="4A4A4F"/>
                <w:sz w:val="18"/>
                <w:szCs w:val="18"/>
              </w:rPr>
              <w:t xml:space="preserve">    ├── finance.py</w:t>
            </w:r>
          </w:p>
          <w:p>
            <w:r>
              <w:rPr>
                <w:rFonts w:ascii="Courier New" w:cs="Courier New" w:eastAsia="Courier New" w:hAnsi="Courier New"/>
                <w:color w:val="4A4A4F"/>
                <w:sz w:val="18"/>
                <w:szCs w:val="18"/>
              </w:rPr>
              <w:t xml:space="preserve">    ├── healthcare.py</w:t>
            </w:r>
          </w:p>
          <w:p>
            <w:r>
              <w:rPr>
                <w:rFonts w:ascii="Courier New" w:cs="Courier New" w:eastAsia="Courier New" w:hAnsi="Courier New"/>
                <w:color w:val="4A4A4F"/>
                <w:sz w:val="18"/>
                <w:szCs w:val="18"/>
              </w:rPr>
              <w:t xml:space="preserve">    └── it.py</w:t>
            </w:r>
          </w:p>
        </w:tc>
      </w:tr>
    </w:tbl>
    <w:p>
      <w:pPr>
        <w:spacing w:after="0" w:before="120"/>
      </w:pPr>
    </w:p>
    <w:p>
      <w:pPr>
        <w:pStyle w:val="Heading3"/>
        <w:spacing w:after="80" w:before="200"/>
      </w:pPr>
      <w:r>
        <w:rPr>
          <w:rFonts w:ascii="Arial" w:cs="Arial" w:eastAsia="Arial" w:hAnsi="Arial"/>
          <w:b/>
          <w:bCs/>
          <w:color w:val="2C2C2E"/>
          <w:sz w:val="23"/>
          <w:szCs w:val="23"/>
        </w:rPr>
        <w:t xml:space="preserve">7.3 Tenant onboarding flow</w:t>
      </w:r>
    </w:p>
    <w:p>
      <w:pPr>
        <w:spacing w:after="120" w:line="336"/>
      </w:pPr>
      <w:r>
        <w:rPr>
          <w:rFonts w:ascii="Arial" w:cs="Arial" w:eastAsia="Arial" w:hAnsi="Arial"/>
          <w:color w:val="4A4A4F"/>
          <w:sz w:val="21"/>
          <w:szCs w:val="21"/>
        </w:rPr>
        <w:t xml:space="preserve">When a new tenant onboards under the multi-sector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Step</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Detail</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1</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Tenant signs up</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Picks sector from SectorChoices registry. Sector field set on Tenant model.</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2</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Sector config loaded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System resolves available workflow templates, active policy rules, permitted node types, and domain models for that sector.</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3</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Tenant is live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Fully isolated from other tenants and sectors. TenantAwareManager auto-filters every query. TenantWorkflowConfig allows per-tenant graph overrides within the sector.</w:t>
            </w:r>
          </w:p>
        </w:tc>
      </w:tr>
    </w:tbl>
    <w:p>
      <w:pPr>
        <w:spacing w:after="0" w:before="160"/>
      </w:pPr>
    </w:p>
    <w:p>
      <w:pPr>
        <w:pStyle w:val="Heading1"/>
      </w:pPr>
      <w:r>
        <w:rPr>
          <w:rFonts w:ascii="Arial" w:cs="Arial" w:eastAsia="Arial" w:hAnsi="Arial"/>
          <w:b/>
          <w:bCs/>
          <w:color w:val="1C1C1E"/>
          <w:sz w:val="36"/>
          <w:szCs w:val="36"/>
        </w:rPr>
        <w:t xml:space="preserve">8. Sector rollout plan</w:t>
      </w:r>
    </w:p>
    <w:p>
      <w:pPr>
        <w:spacing w:after="120" w:line="336"/>
      </w:pPr>
      <w:r>
        <w:rPr>
          <w:rFonts w:ascii="Arial" w:cs="Arial" w:eastAsia="Arial" w:hAnsi="Arial"/>
          <w:color w:val="4A4A4F"/>
          <w:sz w:val="21"/>
          <w:szCs w:val="21"/>
        </w:rPr>
        <w:t xml:space="preserve">The recommended approach is to start with sectors that have low regulatory burden and map cleanly to the existing engine, then graduate to heavier compliance sectors once the pattern is validated.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80"/>
        <w:gridCol w:w="2880"/>
        <w:gridCol w:w="240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Phase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Sectors</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Rationale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Trigger</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Phase 1</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IT, HR, Legal</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Low regulation. Fast to build. Good pilot customers to validate the multi-sector pattern.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Now</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Phase 2</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Healthcare, Insurance, Education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Medium regulation. High demand for structured audit trails. HITL maps naturally.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Post-pilot</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Phase 3</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Government, Energy, Telecom</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Heavy compliance. High contract value. Deterministic replay becomes critical.</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Scale stage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Phase 4</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Manufacturing, Logistics, Retail</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Operations-heavy. Requires custom nodes and integrations with ERP/WMS systems.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Enterprise</w:t>
            </w:r>
          </w:p>
        </w:tc>
      </w:tr>
    </w:tbl>
    <w:p>
      <w:pPr>
        <w:spacing w:after="0" w:before="160"/>
      </w:pPr>
    </w:p>
    <w:p>
      <w:pPr>
        <w:pStyle w:val="Heading1"/>
      </w:pPr>
      <w:r>
        <w:rPr>
          <w:rFonts w:ascii="Arial" w:cs="Arial" w:eastAsia="Arial" w:hAnsi="Arial"/>
          <w:b/>
          <w:bCs/>
          <w:color w:val="1C1C1E"/>
          <w:sz w:val="36"/>
          <w:szCs w:val="36"/>
        </w:rPr>
        <w:t xml:space="preserve">9. Data architecture</w:t>
      </w:r>
    </w:p>
    <w:p>
      <w:pPr>
        <w:spacing w:after="120" w:line="336"/>
      </w:pPr>
      <w:r>
        <w:rPr>
          <w:rFonts w:ascii="Arial" w:cs="Arial" w:eastAsia="Arial" w:hAnsi="Arial"/>
          <w:color w:val="4A4A4F"/>
          <w:sz w:val="21"/>
          <w:szCs w:val="21"/>
        </w:rPr>
        <w:t xml:space="preserve">The data layer is designed to grow in phases as the platform scales. The non-negotiable day-one patterns are established from the start regardless of which phase applies.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640"/>
        <w:gridCol w:w="312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Phase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Trigger</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Architecture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Replay model</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Now (current)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Everything in Supabase (managed cloud PostgreSQL)</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Logical: run_id + as-of dates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1</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&gt;100M price records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Add Iceberg for prices and benchmarks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Iceberg snapshot IDs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2</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Cross-portfolio analytics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Supabase = current truth, Lake = history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Dual-write history</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3</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Compliance audit / bank</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Full Iceberg integration per decision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Exact replay years later</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4</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Bank VPC deployments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Per-bank catalog isolation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Controlled data residency</w:t>
            </w:r>
          </w:p>
        </w:tc>
      </w:tr>
    </w:tbl>
    <w:p>
      <w:pPr>
        <w:spacing w:after="0" w:before="120"/>
      </w:pPr>
    </w:p>
    <w:p>
      <w:pPr>
        <w:pStyle w:val="Heading3"/>
        <w:spacing w:after="80" w:before="200"/>
      </w:pPr>
      <w:r>
        <w:rPr>
          <w:rFonts w:ascii="Arial" w:cs="Arial" w:eastAsia="Arial" w:hAnsi="Arial"/>
          <w:b/>
          <w:bCs/>
          <w:color w:val="2C2C2E"/>
          <w:sz w:val="23"/>
          <w:szCs w:val="23"/>
        </w:rPr>
        <w:t xml:space="preserve">9.1 Non-negotiable day-one patterns</w:t>
      </w:r>
    </w:p>
    <w:p>
      <w:pPr>
        <w:pStyle w:val="ListParagraph"/>
        <w:numPr>
          <w:ilvl w:val="0"/>
          <w:numId w:val="2"/>
        </w:numPr>
        <w:spacing w:after="60"/>
      </w:pPr>
      <w:r>
        <w:rPr>
          <w:rFonts w:ascii="Arial" w:cs="Arial" w:eastAsia="Arial" w:hAnsi="Arial"/>
          <w:color w:val="4A4A4F"/>
          <w:sz w:val="20"/>
          <w:szCs w:val="20"/>
        </w:rPr>
        <w:t xml:space="preserve">Canonical instrument_uid on every instrument record</w:t>
      </w:r>
    </w:p>
    <w:p>
      <w:pPr>
        <w:pStyle w:val="ListParagraph"/>
        <w:numPr>
          <w:ilvl w:val="0"/>
          <w:numId w:val="2"/>
        </w:numPr>
        <w:spacing w:after="60"/>
      </w:pPr>
      <w:r>
        <w:rPr>
          <w:rFonts w:ascii="Arial" w:cs="Arial" w:eastAsia="Arial" w:hAnsi="Arial"/>
          <w:color w:val="4A4A4F"/>
          <w:sz w:val="20"/>
          <w:szCs w:val="20"/>
        </w:rPr>
        <w:t xml:space="preserve">ingestion_batch_id on every imported record</w:t>
      </w:r>
    </w:p>
    <w:p>
      <w:pPr>
        <w:pStyle w:val="ListParagraph"/>
        <w:numPr>
          <w:ilvl w:val="0"/>
          <w:numId w:val="2"/>
        </w:numPr>
        <w:spacing w:after="60"/>
      </w:pPr>
      <w:r>
        <w:rPr>
          <w:rFonts w:ascii="Arial" w:cs="Arial" w:eastAsia="Arial" w:hAnsi="Arial"/>
          <w:color w:val="4A4A4F"/>
          <w:sz w:val="20"/>
          <w:szCs w:val="20"/>
        </w:rPr>
        <w:t xml:space="preserve">snapshot_id in every decision record</w:t>
      </w:r>
    </w:p>
    <w:p>
      <w:pPr>
        <w:pStyle w:val="ListParagraph"/>
        <w:numPr>
          <w:ilvl w:val="0"/>
          <w:numId w:val="2"/>
        </w:numPr>
        <w:spacing w:after="60"/>
      </w:pPr>
      <w:r>
        <w:rPr>
          <w:rFonts w:ascii="Arial" w:cs="Arial" w:eastAsia="Arial" w:hAnsi="Arial"/>
          <w:color w:val="4A4A4F"/>
          <w:sz w:val="20"/>
          <w:szCs w:val="20"/>
        </w:rPr>
        <w:t xml:space="preserve">Append-only prices — never UPDATE, always INSERT</w:t>
      </w:r>
    </w:p>
    <w:p>
      <w:pPr>
        <w:spacing w:after="0" w:before="160"/>
      </w:pPr>
    </w:p>
    <w:p>
      <w:pPr>
        <w:pStyle w:val="Heading1"/>
      </w:pPr>
      <w:r>
        <w:rPr>
          <w:rFonts w:ascii="Arial" w:cs="Arial" w:eastAsia="Arial" w:hAnsi="Arial"/>
          <w:b/>
          <w:bCs/>
          <w:color w:val="1C1C1E"/>
          <w:sz w:val="36"/>
          <w:szCs w:val="36"/>
        </w:rPr>
        <w:t xml:space="preserve">10. Failure handling</w:t>
      </w:r>
    </w:p>
    <w:p>
      <w:pPr>
        <w:spacing w:after="120" w:line="336"/>
      </w:pPr>
      <w:r>
        <w:rPr>
          <w:rFonts w:ascii="Arial" w:cs="Arial" w:eastAsia="Arial" w:hAnsi="Arial"/>
          <w:color w:val="4A4A4F"/>
          <w:sz w:val="21"/>
          <w:szCs w:val="21"/>
        </w:rPr>
        <w:t xml:space="preserve">Retries belong to nodes. Failures are handled by the graph. Tools never retry themselves.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400"/>
        <w:gridCol w:w="312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Type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Characteristics</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Response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Example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Type A — Safe-to-retry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 side effects, idempotent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Automatic retry with exponential backoff</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fetch_prices timeout, vendor API 503</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Type B — Partial commit</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Some writes already succeeded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Trigger compensation workflow for forward resolution</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ingest_transactions partially written</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Type C — Business rule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Policy or validation failure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Human decision required — cannot be retried away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concentration_check FAIL on import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A3A3C" w:sz="6"/>
              <w:left w:val="single" w:color="3A3A3C" w:sz="12"/>
              <w:bottom w:val="nil" w:color="FFFFFF" w:sz="0"/>
              <w:right w:val="nil" w:color="FFFFFF" w:sz="0"/>
            </w:tcBorders>
            <w:shd w:fill="F5F5F5" w:val="clear"/>
            <w:tcMar>
              <w:top w:type="dxa" w:w="120"/>
              <w:left w:type="dxa" w:w="200"/>
              <w:bottom w:type="dxa" w:w="120"/>
              <w:right w:type="dxa" w:w="200"/>
            </w:tcMar>
          </w:tcPr>
          <w:p>
            <w:r>
              <w:rPr>
                <w:rFonts w:ascii="Arial" w:cs="Arial" w:eastAsia="Arial" w:hAnsi="Arial"/>
                <w:b/>
                <w:bCs/>
                <w:color w:val="3A3A3C"/>
                <w:sz w:val="18"/>
                <w:szCs w:val="18"/>
              </w:rPr>
              <w:t xml:space="preserve">Key principles</w:t>
            </w:r>
          </w:p>
          <w:p>
            <w:pPr>
              <w:spacing w:line="320"/>
            </w:pPr>
            <w:r>
              <w:rPr>
                <w:rFonts w:ascii="Arial" w:cs="Arial" w:eastAsia="Arial" w:hAnsi="Arial"/>
                <w:color w:val="4A4A4F"/>
                <w:sz w:val="20"/>
                <w:szCs w:val="20"/>
              </w:rPr>
              <w:t xml:space="preserve">Retrying a deterministic failure is a bug smell — fix the input or the code. Timeouts are decisions, not errors — a 24-hour HITL wait is the process working. Compensation is not rollback — partial commits require forward resolution, not reversal.</w:t>
            </w:r>
          </w:p>
        </w:tc>
      </w:tr>
    </w:tbl>
    <w:p>
      <w:pPr>
        <w:spacing w:after="0" w:before="160"/>
      </w:pPr>
    </w:p>
    <w:p>
      <w:pPr>
        <w:pStyle w:val="Heading1"/>
      </w:pPr>
      <w:r>
        <w:rPr>
          <w:rFonts w:ascii="Arial" w:cs="Arial" w:eastAsia="Arial" w:hAnsi="Arial"/>
          <w:b/>
          <w:bCs/>
          <w:color w:val="1C1C1E"/>
          <w:sz w:val="36"/>
          <w:szCs w:val="36"/>
        </w:rPr>
        <w:t xml:space="preserve">11. Developer quickstart</w:t>
      </w:r>
    </w:p>
    <w:p>
      <w:pPr>
        <w:pStyle w:val="Heading3"/>
        <w:spacing w:after="80" w:before="200"/>
      </w:pPr>
      <w:r>
        <w:rPr>
          <w:rFonts w:ascii="Arial" w:cs="Arial" w:eastAsia="Arial" w:hAnsi="Arial"/>
          <w:b/>
          <w:bCs/>
          <w:color w:val="2C2C2E"/>
          <w:sz w:val="23"/>
          <w:szCs w:val="23"/>
        </w:rPr>
        <w:t xml:space="preserve">11.1 Get running in 5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Command</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Purpose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1</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3A3A3C"/>
                <w:sz w:val="18"/>
                <w:szCs w:val="18"/>
              </w:rPr>
              <w:t xml:space="preserve">docker network create nexara_network</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Create isolated Docker network for all services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2</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3A3A3C"/>
                <w:sz w:val="18"/>
                <w:szCs w:val="18"/>
              </w:rPr>
              <w:t xml:space="preserve">docker compose -f docker-compose.local.yml up -d</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Start all services (Django, Redis, LangGraph, Next.js) — Supabase is cloud-hosted, no local container needed</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3</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3A3A3C"/>
                <w:sz w:val="18"/>
                <w:szCs w:val="18"/>
              </w:rPr>
              <w:t xml:space="preserve">python manage.py migrate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Apply all database migrations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4</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3A3A3C"/>
                <w:sz w:val="18"/>
                <w:szCs w:val="18"/>
              </w:rPr>
              <w:t xml:space="preserve">python manage.py createsuperuser</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Create admin user for Django admin and API</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5</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3A3A3C"/>
                <w:sz w:val="18"/>
                <w:szCs w:val="18"/>
              </w:rPr>
              <w:t xml:space="preserve">python manage.py setup_initial_data</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Load all fixtures: reference data, node registry, default workflow templates</w:t>
            </w:r>
          </w:p>
        </w:tc>
      </w:tr>
    </w:tbl>
    <w:p>
      <w:pPr>
        <w:spacing w:after="0" w:before="120"/>
      </w:pPr>
    </w:p>
    <w:p>
      <w:pPr>
        <w:pStyle w:val="Heading3"/>
        <w:spacing w:after="80" w:before="200"/>
      </w:pPr>
      <w:r>
        <w:rPr>
          <w:rFonts w:ascii="Arial" w:cs="Arial" w:eastAsia="Arial" w:hAnsi="Arial"/>
          <w:b/>
          <w:bCs/>
          <w:color w:val="2C2C2E"/>
          <w:sz w:val="23"/>
          <w:szCs w:val="23"/>
        </w:rPr>
        <w:t xml:space="preserve">11.2 Key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trigger_agent --list</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List all available agents and their status</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trigger_agent market_data_sync</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Trigger the market data sync agent manually</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workflow_status &lt;id&gt;</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Check the current status of a workflow run</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sync_nodes</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Reload the node registry from Python classes</w:t>
            </w:r>
          </w:p>
        </w:tc>
      </w:tr>
      <w:tr>
        <w:tc>
          <w:tcPr>
            <w:gridSpan w:val="1"/>
            <w:tcBorders>
              <w:top w:val="single" w:color="DADADA" w:sz="1"/>
              <w:left w:val="single" w:color="DADADA" w:sz="1"/>
              <w:bottom w:val="single" w:color="DADADA" w:sz="1"/>
              <w:right w:val="single" w:color="DADADA" w:sz="1"/>
            </w:tcBorders>
            <w:shd w:fill="F5F5F5" w:val="clear"/>
            <w:tcMar>
              <w:top w:type="dxa" w:w="100"/>
              <w:left w:type="dxa" w:w="140"/>
              <w:bottom w:type="dxa" w:w="100"/>
              <w:right w:type="dxa" w:w="140"/>
            </w:tcMar>
            <w:vAlign w:val="center"/>
          </w:tcPr>
          <w:p>
            <w:pPr>
              <w:jc w:val="left"/>
            </w:pPr>
            <w:r>
              <w:rPr>
                <w:rFonts w:ascii="Arial" w:cs="Arial" w:eastAsia="Arial" w:hAnsi="Arial"/>
                <w:b/>
                <w:bCs/>
                <w:color w:val="2C2C2E"/>
                <w:sz w:val="20"/>
                <w:szCs w:val="20"/>
              </w:rPr>
              <w:t xml:space="preserve">pytest</w:t>
            </w:r>
          </w:p>
        </w:tc>
        <w:tc>
          <w:tcPr>
            <w:gridSpan w:val="1"/>
            <w:tcBorders>
              <w:top w:val="single" w:color="DADADA" w:sz="1"/>
              <w:left w:val="single" w:color="DADADA" w:sz="1"/>
              <w:bottom w:val="single" w:color="DADADA" w:sz="1"/>
              <w:right w:val="single" w:color="DADADA"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A4A4F"/>
                <w:sz w:val="20"/>
                <w:szCs w:val="20"/>
              </w:rPr>
              <w:t xml:space="preserve">Run the full test suite</w:t>
            </w:r>
          </w:p>
        </w:tc>
      </w:tr>
    </w:tbl>
    <w:p>
      <w:pPr>
        <w:spacing w:after="0" w:before="120"/>
      </w:pPr>
    </w:p>
    <w:p>
      <w:pPr>
        <w:pStyle w:val="Heading3"/>
        <w:spacing w:after="80" w:before="200"/>
      </w:pPr>
      <w:r>
        <w:rPr>
          <w:rFonts w:ascii="Arial" w:cs="Arial" w:eastAsia="Arial" w:hAnsi="Arial"/>
          <w:b/>
          <w:bCs/>
          <w:color w:val="2C2C2E"/>
          <w:sz w:val="23"/>
          <w:szCs w:val="23"/>
        </w:rPr>
        <w:t xml:space="preserve">11.3 Adding a new sector</w:t>
      </w:r>
    </w:p>
    <w:p>
      <w:pPr>
        <w:spacing w:after="120" w:line="336"/>
      </w:pPr>
      <w:r>
        <w:rPr>
          <w:rFonts w:ascii="Arial" w:cs="Arial" w:eastAsia="Arial" w:hAnsi="Arial"/>
          <w:color w:val="4A4A4F"/>
          <w:sz w:val="21"/>
          <w:szCs w:val="21"/>
        </w:rPr>
        <w:t xml:space="preserve">To add a new sector to the platform:</w:t>
      </w:r>
    </w:p>
    <w:p>
      <w:pPr>
        <w:pStyle w:val="ListParagraph"/>
        <w:numPr>
          <w:ilvl w:val="0"/>
          <w:numId w:val="3"/>
        </w:numPr>
        <w:spacing w:after="60"/>
      </w:pPr>
      <w:r>
        <w:rPr>
          <w:rFonts w:ascii="Arial" w:cs="Arial" w:eastAsia="Arial" w:hAnsi="Arial"/>
          <w:color w:val="4A4A4F"/>
          <w:sz w:val="20"/>
          <w:szCs w:val="20"/>
        </w:rPr>
        <w:t xml:space="preserve">Create sectors/your_sector.py and define the sector config object (workflows, nodes, policies).</w:t>
      </w:r>
    </w:p>
    <w:p>
      <w:pPr>
        <w:pStyle w:val="ListParagraph"/>
        <w:numPr>
          <w:ilvl w:val="0"/>
          <w:numId w:val="3"/>
        </w:numPr>
        <w:spacing w:after="60"/>
      </w:pPr>
      <w:r>
        <w:rPr>
          <w:rFonts w:ascii="Arial" w:cs="Arial" w:eastAsia="Arial" w:hAnsi="Arial"/>
          <w:color w:val="4A4A4F"/>
          <w:sz w:val="20"/>
          <w:szCs w:val="20"/>
        </w:rPr>
        <w:t xml:space="preserve">Register domain models under domains/your_sector/ using standard Django app structure.</w:t>
      </w:r>
    </w:p>
    <w:p>
      <w:pPr>
        <w:pStyle w:val="ListParagraph"/>
        <w:numPr>
          <w:ilvl w:val="0"/>
          <w:numId w:val="3"/>
        </w:numPr>
        <w:spacing w:after="60"/>
      </w:pPr>
      <w:r>
        <w:rPr>
          <w:rFonts w:ascii="Arial" w:cs="Arial" w:eastAsia="Arial" w:hAnsi="Arial"/>
          <w:color w:val="4A4A4F"/>
          <w:sz w:val="20"/>
          <w:szCs w:val="20"/>
        </w:rPr>
        <w:t xml:space="preserve">Tag relevant nodes with @register_node(sectors=['your_sector']) to limit availability.</w:t>
      </w:r>
    </w:p>
    <w:p>
      <w:pPr>
        <w:pStyle w:val="ListParagraph"/>
        <w:numPr>
          <w:ilvl w:val="0"/>
          <w:numId w:val="3"/>
        </w:numPr>
        <w:spacing w:after="60"/>
      </w:pPr>
      <w:r>
        <w:rPr>
          <w:rFonts w:ascii="Arial" w:cs="Arial" w:eastAsia="Arial" w:hAnsi="Arial"/>
          <w:color w:val="4A4A4F"/>
          <w:sz w:val="20"/>
          <w:szCs w:val="20"/>
        </w:rPr>
        <w:t xml:space="preserve">Add sector-specific policy rules under engine/policies/your_sector/.</w:t>
      </w:r>
    </w:p>
    <w:p>
      <w:pPr>
        <w:pStyle w:val="ListParagraph"/>
        <w:numPr>
          <w:ilvl w:val="0"/>
          <w:numId w:val="3"/>
        </w:numPr>
        <w:spacing w:after="60"/>
      </w:pPr>
      <w:r>
        <w:rPr>
          <w:rFonts w:ascii="Arial" w:cs="Arial" w:eastAsia="Arial" w:hAnsi="Arial"/>
          <w:color w:val="4A4A4F"/>
          <w:sz w:val="20"/>
          <w:szCs w:val="20"/>
        </w:rPr>
        <w:t xml:space="preserve">Add the sector to SectorChoices in platform/choices.py.</w:t>
      </w:r>
    </w:p>
    <w:p>
      <w:pPr>
        <w:pStyle w:val="ListParagraph"/>
        <w:numPr>
          <w:ilvl w:val="0"/>
          <w:numId w:val="3"/>
        </w:numPr>
        <w:spacing w:after="60"/>
      </w:pPr>
      <w:r>
        <w:rPr>
          <w:rFonts w:ascii="Arial" w:cs="Arial" w:eastAsia="Arial" w:hAnsi="Arial"/>
          <w:color w:val="4A4A4F"/>
          <w:sz w:val="20"/>
          <w:szCs w:val="20"/>
        </w:rPr>
        <w:t xml:space="preserve">Run python manage.py sync_nodes and create a tenant with sector='your_sector'.</w:t>
      </w:r>
    </w:p>
    <w:p>
      <w:pPr>
        <w:spacing w:after="0" w:before="160"/>
      </w:pPr>
    </w:p>
    <w:p>
      <w:pPr>
        <w:pStyle w:val="Heading1"/>
      </w:pPr>
      <w:r>
        <w:rPr>
          <w:rFonts w:ascii="Arial" w:cs="Arial" w:eastAsia="Arial" w:hAnsi="Arial"/>
          <w:b/>
          <w:bCs/>
          <w:color w:val="1C1C1E"/>
          <w:sz w:val="36"/>
          <w:szCs w:val="36"/>
        </w:rPr>
        <w:t xml:space="preserve">Appendix: Reusability matrix</w:t>
      </w:r>
    </w:p>
    <w:p>
      <w:pPr>
        <w:spacing w:after="120" w:line="336"/>
      </w:pPr>
      <w:r>
        <w:rPr>
          <w:rFonts w:ascii="Arial" w:cs="Arial" w:eastAsia="Arial" w:hAnsi="Arial"/>
          <w:color w:val="4A4A4F"/>
          <w:sz w:val="21"/>
          <w:szCs w:val="21"/>
        </w:rPr>
        <w:t xml:space="preserve">Summary of which Nexara components are fully reusable across all sectors with zero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1680"/>
        <w:gridCol w:w="3600"/>
      </w:tblGrid>
      <w:tr>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Component</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Reusability</w:t>
            </w:r>
          </w:p>
        </w:tc>
        <w:tc>
          <w:tcPr>
            <w:gridSpan w:val="1"/>
            <w:tcBorders>
              <w:top w:val="single" w:color="DADADA" w:sz="1"/>
              <w:left w:val="single" w:color="DADADA" w:sz="1"/>
              <w:bottom w:val="single" w:color="DADADA" w:sz="1"/>
              <w:right w:val="single" w:color="DADADA" w:sz="1"/>
            </w:tcBorders>
            <w:shd w:fill="EDEDED" w:val="clear"/>
            <w:tcMar>
              <w:top w:type="dxa" w:w="100"/>
              <w:left w:type="dxa" w:w="140"/>
              <w:bottom w:type="dxa" w:w="100"/>
              <w:right w:type="dxa" w:w="140"/>
            </w:tcMar>
            <w:vAlign w:val="center"/>
          </w:tcPr>
          <w:p>
            <w:pPr>
              <w:jc w:val="left"/>
            </w:pPr>
            <w:r>
              <w:rPr>
                <w:rFonts w:ascii="Arial" w:cs="Arial" w:eastAsia="Arial" w:hAnsi="Arial"/>
                <w:b/>
                <w:bCs/>
                <w:color w:val="2C2C2E"/>
                <w:sz w:val="19"/>
                <w:szCs w:val="19"/>
              </w:rPr>
              <w:t xml:space="preserve">Notes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Multi-tenancy middleware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100%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 changes needed. Sector is additive.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HITL framework</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100%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Human approval is domain-agnostic by nature.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Append-only audit trail</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100%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DecisionPoint, HumanAction, NodeRun unchanged.</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Deterministic replay</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100%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Pinning mechanism works for any sector.</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Workflow execution engine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100%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WorkflowTemplate/Run/NodeRun unchanged.</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Node registry (@register_node)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8E6000"/>
                <w:sz w:val="20"/>
                <w:szCs w:val="20"/>
              </w:rPr>
              <w:t xml:space="preserve">85%</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Minor addition: sectors=[] parameter.</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Policy evaluation engine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8E6000"/>
                <w:sz w:val="20"/>
                <w:szCs w:val="20"/>
              </w:rPr>
              <w:t xml:space="preserve">90%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Rules are sector-specific; engine is shared.</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SSE / real-time events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100%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Sector-agnostic event bus.</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MCP tool interface</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100%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Permission model unchanged.</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LangGraph executor</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100%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Dumb executor — no domain knowledge.</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Next.js server-driven UI</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1A5C1A"/>
                <w:sz w:val="20"/>
                <w:szCs w:val="20"/>
              </w:rPr>
              <w:t xml:space="preserve">100%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Schema changes in Django; UI follows automatically.</w:t>
            </w:r>
          </w:p>
        </w:tc>
      </w:tr>
      <w:tr>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Domain models (domains/)</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bCs/>
                <w:color w:val="8E0000"/>
                <w:sz w:val="20"/>
                <w:szCs w:val="20"/>
              </w:rPr>
              <w:t xml:space="preserve">0%</w:t>
            </w:r>
          </w:p>
        </w:tc>
        <w:tc>
          <w:tcPr>
            <w:gridSpan w:val="1"/>
            <w:tcBorders>
              <w:top w:val="single" w:color="DADADA" w:sz="1"/>
              <w:left w:val="single" w:color="DADADA" w:sz="1"/>
              <w:bottom w:val="single" w:color="DADADA" w:sz="1"/>
              <w:right w:val="single" w:color="DADADA" w:sz="1"/>
            </w:tcBorders>
            <w:tcMar>
              <w:top w:type="dxa" w:w="100"/>
              <w:left w:type="dxa" w:w="140"/>
              <w:bottom w:type="dxa" w:w="100"/>
              <w:right w:type="dxa" w:w="140"/>
            </w:tcMar>
            <w:vAlign w:val="center"/>
          </w:tcPr>
          <w:p>
            <w:pPr>
              <w:jc w:val="left"/>
            </w:pPr>
            <w:r>
              <w:rPr>
                <w:rFonts w:ascii="Arial" w:cs="Arial" w:eastAsia="Arial" w:hAnsi="Arial"/>
                <w:b w:val="false"/>
                <w:bCs w:val="false"/>
                <w:color w:val="1C1C1E"/>
                <w:sz w:val="20"/>
                <w:szCs w:val="20"/>
              </w:rPr>
              <w:t xml:space="preserve">Fully sector-specific. Rebuild per sector.</w:t>
            </w:r>
          </w:p>
        </w:tc>
      </w:tr>
    </w:tbl>
    <w:p>
      <w:pPr>
        <w:spacing w:after="0" w:before="200"/>
      </w:pPr>
    </w:p>
    <w:p>
      <w:pPr>
        <w:pBdr>
          <w:bottom w:val="single" w:color="DADADA" w:sz="4" w:space="1"/>
        </w:pBdr>
        <w:spacing w:after="160" w:before="160"/>
      </w:pPr>
    </w:p>
    <w:p>
      <w:pPr>
        <w:spacing w:before="120"/>
        <w:jc w:val="center"/>
      </w:pPr>
      <w:r>
        <w:rPr>
          <w:rFonts w:ascii="Arial" w:cs="Arial" w:eastAsia="Arial" w:hAnsi="Arial"/>
          <w:color w:val="8E8E93"/>
          <w:sz w:val="18"/>
          <w:szCs w:val="18"/>
        </w:rPr>
        <w:t xml:space="preserve">Nexara Platform — Knowledge Transfer Report   ·   Internal Engineering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ADA" w:sz="4" w:space="2"/>
      </w:pBdr>
      <w:tabs>
        <w:tab w:val="right" w:pos="9026"/>
      </w:tabs>
      <w:spacing w:before="0"/>
    </w:pPr>
    <w:r>
      <w:rPr>
        <w:rFonts w:ascii="Arial" w:cs="Arial" w:eastAsia="Arial" w:hAnsi="Arial"/>
        <w:color w:val="8E8E93"/>
        <w:sz w:val="17"/>
        <w:szCs w:val="17"/>
      </w:rPr>
      <w:t xml:space="preserve">Internal Engineering Document   |   Confidential   |   Nexara Platform KT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ADA" w:sz="4" w:space="2"/>
      </w:pBdr>
      <w:spacing w:after="0"/>
    </w:pPr>
    <w:r>
      <w:rPr>
        <w:rFonts w:ascii="Arial" w:cs="Arial" w:eastAsia="Arial" w:hAnsi="Arial"/>
        <w:b/>
        <w:bCs/>
        <w:color w:val="1C1C1E"/>
        <w:sz w:val="18"/>
        <w:szCs w:val="18"/>
      </w:rPr>
      <w:t xml:space="preserve">NEXARA PLATFORM</w:t>
    </w:r>
    <w:r>
      <w:rPr>
        <w:rFonts w:ascii="Arial" w:cs="Arial" w:eastAsia="Arial" w:hAnsi="Arial"/>
        <w:color w:val="8E8E93"/>
        <w:sz w:val="18"/>
        <w:szCs w:val="18"/>
      </w:rPr>
      <w:t xml:space="preserve">   |   Knowledge Transfer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0"/>
        <w:szCs w:val="20"/>
      </w:rPr>
    </w:lvl>
    <w:lvl w:ilvl="1" w15:tentative="1">
      <w:start w:val="1"/>
      <w:numFmt w:val="bullet"/>
      <w:lvlText w:val="◦"/>
      <w:lvlJc w:val="left"/>
      <w:pPr>
        <w:ind w:left="1080" w:hanging="360"/>
      </w:pPr>
      <w:rPr>
        <w:sz w:val="19"/>
        <w:szCs w:val="19"/>
      </w:rPr>
    </w:lvl>
  </w:abstractNum>
  <w:abstractNum w:abstractNumId="3" w15:restartNumberingAfterBreak="0">
    <w:multiLevelType w:val="hybridMultilevel"/>
    <w:lvl w:ilvl="0" w15:tentative="1">
      <w:start w:val="1"/>
      <w:numFmt w:val="decimal"/>
      <w:lvlText w:val="%1."/>
      <w:lvlJc w:val="left"/>
      <w:pPr>
        <w:ind w:left="720" w:hanging="360"/>
      </w:pPr>
      <w:rPr>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1C1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2C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2C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2026-05-26T18:53:09.413Z</dcterms:created>
  <dcterms:modified xsi:type="dcterms:W3CDTF">2026-05-26T18:53:09.413Z</dcterms:modified>
</cp:coreProperties>
</file>

<file path=docProps/custom.xml><?xml version="1.0" encoding="utf-8"?>
<Properties xmlns="http://schemas.openxmlformats.org/officeDocument/2006/custom-properties" xmlns:vt="http://schemas.openxmlformats.org/officeDocument/2006/docPropsVTypes"/>
</file>