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 Compatibility ↔ OECD Crosswalk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database stores mappings between the AI Compatibility Test questionnaire (32 items) and comparable OECD/BCG/INSEAD survey indicators from Annex C and Annex E of the 2023 report.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`survey_item`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One row per AI Compatibility question (`item_id`).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Contains the question text, dimension, and construct.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`item_mapping`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Links each `survey_item` to the corresponding OECD question(s) and table(s).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`match_type` indicates whether the link is **Direct**, **Partial**, or **No direct**.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`how_to_use` holds notes on how to interpret or benchmark.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Data source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OECD/BCG/INSEAD “AI Diffusion” survey (Annex C &amp; 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File origin: `OECD___Your_Excel__Crosswalk (1).csv`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