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1q5lqwrl3c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Goal: Combine Annex C + Annex E inside your database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have two types of normalized data: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8.6486486486488"/>
        <w:gridCol w:w="1975.1351351351352"/>
        <w:gridCol w:w="2850.810810810811"/>
        <w:gridCol w:w="2325.4054054054054"/>
        <w:tblGridChange w:id="0">
          <w:tblGrid>
            <w:gridCol w:w="2208.6486486486488"/>
            <w:gridCol w:w="1975.1351351351352"/>
            <w:gridCol w:w="2850.810810810811"/>
            <w:gridCol w:w="2325.405405405405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Normalization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Questionnaire (Annex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Parsed from OECD survey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All survey questions, sections, and options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3NF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Aggregated Results (Annex 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Extracted from OECD result 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Aggregated percentages by country, sector, size, 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3NF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TableMeta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Dimension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them through the </w:t>
      </w:r>
      <w:r w:rsidDel="00000000" w:rsidR="00000000" w:rsidRPr="00000000">
        <w:rPr>
          <w:b w:val="1"/>
          <w:rtl w:val="0"/>
        </w:rPr>
        <w:t xml:space="preserve">QuestionID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b w:val="1"/>
          <w:rtl w:val="0"/>
        </w:rPr>
        <w:t xml:space="preserve">TableID</w:t>
      </w:r>
      <w:r w:rsidDel="00000000" w:rsidR="00000000" w:rsidRPr="00000000">
        <w:rPr>
          <w:rtl w:val="0"/>
        </w:rPr>
        <w:t xml:space="preserve"> mapping.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tcsjgncwv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 1: Core Tables in Your Database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should have (or create) these six tables: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From Annex C (Questionnaire)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Section (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SectionID TEXT PRIMARY KEY,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SectionName TEXT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Question (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QuestionID TEXT PRIMARY KEY,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SectionID TEXT REFERENCES Section(SectionID),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QuestionText TEXT,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ResponseType TEXT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Option (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OptionID TEXT PRIMARY KEY,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QuestionID TEXT REFERENCES Question(QuestionID),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OptionText TEXT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From Annex E (Aggregated Results)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TableMeta (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TableID TEXT PRIMARY KEY,            -- e.g. 'E.1', 'E.2'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QuestionID TEXT REFERENCES Question(QuestionID),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Title TEXT,                          -- 'How important are AI applications...'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Source TEXT                          -- e.g. 'OECD Annex E'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Dimension (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DimensionID TEXT PRIMARY KEY,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Country TEXT,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EnterpriseSize TEXT,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Sector TEXT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Fact (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TableID TEXT REFERENCES TableMeta(TableID),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DimensionID TEXT REFERENCES Dimension(DimensionID),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Indicator TEXT,                      -- e.g. 'Yes', 'No', 'Very important'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Value NUMERIC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4rrtufz0r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2: Establish the Mapping (Crosswalk)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Crosswalk table</w:t>
      </w:r>
      <w:r w:rsidDel="00000000" w:rsidR="00000000" w:rsidRPr="00000000">
        <w:rPr>
          <w:rtl w:val="0"/>
        </w:rPr>
        <w:t xml:space="preserve"> linking each question (from Annex C) to its result table(s) (Annex E).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QuestionTableMap (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QuestionID TEXT REFERENCES Question(QuestionID),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TableID TEXT REFERENCES TableMeta(TableID),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PRIMARY KEY (QuestionID, TableID)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zfnxs19cd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Step 3: Relational Flow (3NF → Analytical Join)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SQL: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s.SectionName,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q.QuestionText,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tm.TableID,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d.Country,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d.Sector,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d.EnterpriseSize,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f.Indicator,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f.Value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Fact f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TableMeta tm ON f.TableID = tm.TableID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Question q ON tm.QuestionID = q.QuestionID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Section s ON q.SectionID = s.SectionID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Dimension d ON f.DimensionID = d.DimensionID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q.QuestionID = 'Q1'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d.Country, d.Sector, d.EnterpriseSize;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tt0vlm8i1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4: Data Loading Flow</w:t>
      </w:r>
    </w:p>
    <w:tbl>
      <w:tblPr>
        <w:tblStyle w:val="Table2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3375"/>
        <w:gridCol w:w="4005"/>
        <w:tblGridChange w:id="0">
          <w:tblGrid>
            <w:gridCol w:w="1155"/>
            <w:gridCol w:w="3375"/>
            <w:gridCol w:w="40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parse_oecd_csv_3nf.py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section.csv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question.csv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option.csv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extract_all_oecd_tables.py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E_*.csv</w:t>
            </w:r>
            <w:r w:rsidDel="00000000" w:rsidR="00000000" w:rsidRPr="00000000">
              <w:rPr>
                <w:rtl w:val="0"/>
              </w:rPr>
              <w:t xml:space="preserve"> tables (raw results)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normalize_oecd_tables_3nf.py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TableMeta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Dimension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Fact</w:t>
            </w:r>
            <w:r w:rsidDel="00000000" w:rsidR="00000000" w:rsidRPr="00000000">
              <w:rPr>
                <w:rtl w:val="0"/>
              </w:rPr>
              <w:t xml:space="preserve"> CSVs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Load all CSVs into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Populate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QuestionTableMap</w:t>
            </w:r>
            <w:r w:rsidDel="00000000" w:rsidR="00000000" w:rsidRPr="00000000">
              <w:rPr>
                <w:rtl w:val="0"/>
              </w:rPr>
              <w:t xml:space="preserve"> crosswalk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vvzfbmjsn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5: Using the Combined Dataset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loaded, you can: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metadata + results</w:t>
      </w:r>
      <w:r w:rsidDel="00000000" w:rsidR="00000000" w:rsidRPr="00000000">
        <w:rPr>
          <w:rtl w:val="0"/>
        </w:rPr>
        <w:t xml:space="preserve"> (e.g., all OECD results for questions on “transparency”).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 your internal survey’s answers to OECD aggregates by joining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dashboards</w:t>
      </w:r>
      <w:r w:rsidDel="00000000" w:rsidR="00000000" w:rsidRPr="00000000">
        <w:rPr>
          <w:rtl w:val="0"/>
        </w:rPr>
        <w:t xml:space="preserve"> combining: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OECD reference values (Annex E)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company/region responses (from your AI Compatibility Test)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Metadata (from Annex C)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query comparing internal vs OECD averages: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q.QuestionText,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d.Country,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f.Value AS OECD_Percent,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i.Value AS Internal_Percent,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(i.Value - f.Value) AS Gap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Fact f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QuestionTableMap m ON f.TableID = m.TableID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Question q ON m.QuestionID = q.QuestionID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Dimension d ON f.DimensionID = d.DimensionID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 InternalResults i ON q.QuestionID = i.QuestionID AND d.Country = i.Country;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