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/Relationships>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</w:rPr>
      </w:pPr>
      <w:bookmarkStart w:colFirst="0" w:colLast="0" w:name="_v3uiatrcuc2i" w:id="0"/>
      <w:bookmarkEnd w:id="0"/>
      <w:r w:rsidDel="00000000" w:rsidR="00000000" w:rsidRPr="00000000">
        <w:rPr>
          <w:sz w:val="28"/>
          <w:szCs w:val="28"/>
          <w:rtl w:val="0"/>
        </w:rPr>
        <w:t xml:space="preserve">Resolución Número 4 del Consejo de Contenido que modifica la Declaración de la Estantería Digital de Papalotla y deroga los Estatutos de Financiación y Gastos.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de febrero de 2024.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Considerando que: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 Es necesario actualizar la "Declaración de la Estantería Digital de Papalotla" para reflejar los cambios y desarrollos recientes en la estructura y funcionamiento de la Estantería.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 Los "Estatutos de Financiación y Gastos" requieren ser reemplazados por el nuevo "Estatuto de Sostenibilidad Económica" para alinearse mejor con los valores y objetivos actuales de la Estantería.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Por ello: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 1. El Consejo de Contenido de la Estantería Digital de Papalotla, en sesión extraordinaria y por una mayoría de votos, resuelve: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   Modificación de la Declaración: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   La "Declaración de la Estantería Digital de Papalotla" se modifica en su preámbulo, para quedar como sigue: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  Nosotros, en comunidad, declaramos que: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  La Estantería Digital de Papalotla tiene por objeto conservar, resguardar y difundir los archivos históricos, culturales, estadísticos y geográficos, mejorando así el entendimento histórico, social, económico y democrático de la ciudad. La Estantería Digital de Papalotla debe ser construida en comunidad, de manera democrática y con software libre.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   La "Declaración de la Estantería Digital de Papalotla" se modifica en su sección que establece las Declaraciones de Funcionamiento , para quedar como sigue: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-   -   Tomando en cuenta lo anterior, establecemos: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  I. Un Código de conducta, que regirá nuestras relaciones internas y establecerá sanciones justas con el fin de tener una comunidad sana y sin discriminación.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  II. Una Mesa de Administración, que sea el órgano ejecutivo de la Estantería y se encargará de: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-   a) Administrar los aspectos técnicos y administrativos de la misma.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-   b) Establecer las responsabilidades y sanciones en los casos de infracciones al Código de conducta.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-    III. Un Consejo de Contenido, responsable de la neutralidad, independencia y transparencia de nuestros contenidos.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-    IV. El Estatuto de Sostenibilidad Económica, que garantiza nuestro funcionamiento económico.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Fin del texto de la Declaración del la Estantería Digital de Papalotla.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Disposición derogatoria.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  Al modificarse la Declaración de la Estantería Digital de Papalotla, se derogan los Estatutos de Financiación y Gastos.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 2.Votación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05.0" w:type="dxa"/>
        <w:jc w:val="left"/>
        <w:tblLayout w:type="fixed"/>
        <w:tblLook w:val="0600"/>
      </w:tblPr>
      <w:tblGrid>
        <w:gridCol w:w="5030"/>
        <w:gridCol w:w="2075"/>
        <w:gridCol w:w="1100"/>
        <w:tblGridChange w:id="0">
          <w:tblGrid>
            <w:gridCol w:w="5030"/>
            <w:gridCol w:w="2075"/>
            <w:gridCol w:w="110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Miembro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Poder de voto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Impossible Box de México S.A.S de C.V.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 favor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## 3. Firmas.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## 4. Conclusión y logs.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La Resolución Número 4 del Consejo de Contenido que modifica la Declaración de la Estantería Digital de Papalotla y deroga los Estatutos de Financiación y Gastos queda aprobada por unanimidad, cumpliéndose así el mínimo para poder editar la declaración.</w:t>
      </w:r>
      <w:r w:rsidDel="00000000" w:rsidR="00000000" w:rsidRPr="00000000">
        <w:rPr>
          <w:rtl w:val="0"/>
        </w:rPr>
      </w:r>
    </w:p>
    <w:p>
      <w:r/>
    </w:p>
    <w:p>
      <w:pPr>
        <w:spacing w:after="0" w:before="0"/>
      </w:pPr>
      <w:r>
        <w:rPr>
          <w:rFonts w:ascii="Courier New" w:hAnsi="Courier New" w:cs="Courier New" w:eastAsia="Courier New"/>
          <w:sz w:val="20"/>
        </w:rPr>
        <w:t>DATOS DE LA FIRMA ELECTRÓNICA:</w:t>
      </w:r>
    </w:p>
    <w:p>
      <w:pPr>
        <w:spacing w:after="0" w:before="0"/>
      </w:pPr>
      <w:r>
        <w:rPr>
          <w:rFonts w:ascii="Courier New" w:hAnsi="Courier New" w:cs="Courier New" w:eastAsia="Courier New"/>
          <w:sz w:val="20"/>
        </w:rPr>
        <w:t>________________________________________________________________</w:t>
      </w:r>
    </w:p>
    <w:p>
      <w:pPr>
        <w:spacing w:after="0" w:before="0"/>
      </w:pPr>
      <w:r>
        <w:rPr>
          <w:rFonts w:ascii="Courier New" w:hAnsi="Courier New" w:cs="Courier New" w:eastAsia="Courier New"/>
          <w:sz w:val="20"/>
        </w:rPr>
        <w:t>Firmante 1 de 1.</w:t>
      </w:r>
    </w:p>
    <w:p>
      <w:pPr>
        <w:spacing w:after="0" w:before="0"/>
      </w:pPr>
      <w:r>
        <w:rPr>
          <w:rFonts w:ascii="Courier New" w:hAnsi="Courier New" w:cs="Courier New" w:eastAsia="Courier New"/>
          <w:sz w:val="20"/>
        </w:rPr>
        <w:tab/>
        <w:t>	Serie del certificado: 00001000000702973843.</w:t>
      </w:r>
    </w:p>
    <w:p>
      <w:pPr>
        <w:spacing w:after="0" w:before="0"/>
      </w:pPr>
      <w:r>
        <w:rPr>
          <w:rFonts w:ascii="Courier New" w:hAnsi="Courier New" w:cs="Courier New" w:eastAsia="Courier New"/>
          <w:sz w:val="20"/>
        </w:rPr>
        <w:tab/>
        <w:t>	Titular: IMPOSSIBLE BOX DE MEXICO SAS DE CV.</w:t>
      </w:r>
    </w:p>
    <w:p>
      <w:pPr>
        <w:spacing w:after="0" w:before="0"/>
      </w:pPr>
      <w:r>
        <w:rPr>
          <w:rFonts w:ascii="Courier New" w:hAnsi="Courier New" w:cs="Courier New" w:eastAsia="Courier New"/>
          <w:sz w:val="20"/>
        </w:rPr>
        <w:tab/>
        <w:t>	Fecha y hora de firma del documento: domingo 4 de febrero de 2024 06:31:02 AM GMT</w:t>
      </w:r>
    </w:p>
    <w:p>
      <w:pPr>
        <w:spacing w:after="0" w:before="0"/>
      </w:pPr>
      <w:r>
        <w:rPr>
          <w:rFonts w:ascii="Courier New" w:hAnsi="Courier New" w:cs="Courier New" w:eastAsia="Courier New"/>
          <w:sz w:val="20"/>
        </w:rPr>
        <w:tab/>
        <w:t>	Firma:VabnAAhVS6hLqPb5gvc35aB8BufAbrmKEIKiF9CsgQaQkr55LTFMpB+JV0exfN7nKUxD4OY4F1Ll9eyyCT1SigeXXxTtmt8OfAGNv9PNQdMEqLc/V7bqO4WuhO0+QICbMgdNBdx8MMyaUIQzpSU4Mlnm1k/Xya7J+0AmK1oUo06h72r0DIFt+ufmbLH9tPEOWuas2mRAjToBUT7jPhNHts/es+mI1pUPQN+N3NWSszYzqJ0g6GOgM8BMBHk8rLV4CKjaoePFvJkTZsxB5gi+UyroPwito0K+//N416VRVzq/+4LspXoKFpFEcBZolvtI3xEMwxaoB5ncRegmbVqBmQ==</w:t>
      </w:r>
    </w:p>
    <w:p>
      <w:pPr>
        <w:spacing w:after="0" w:before="0"/>
      </w:pPr>
      <w:r>
        <w:rPr>
          <w:rFonts w:ascii="Courier New" w:hAnsi="Courier New" w:cs="Courier New" w:eastAsia="Courier New"/>
          <w:sz w:val="20"/>
        </w:rPr>
        <w:t>________________________________________________________________</w:t>
      </w:r>
    </w:p>
    <w:p>
      <w:pPr>
        <w:spacing w:after="0" w:before="0"/>
      </w:pPr>
      <w:r>
        <w:rPr>
          <w:rFonts w:ascii="Courier New" w:hAnsi="Courier New" w:cs="Courier New" w:eastAsia="Courier New"/>
          <w:sz w:val="20"/>
        </w:rPr>
        <w:t>Esta es la representación visual de la firma electrónica del documento digital "Resolución Número 4 del Consejo de Contenido que modifica la Declaración de la Estantería Digital de Papalotla y deroga los Estatutos de Financiación y Gastos.docx.fbmx" correspondiente.</w:t>
      </w:r>
    </w:p>
    <w:p>
      <w:pPr>
        <w:spacing w:after="0" w:before="0"/>
      </w:pPr>
      <w:r>
        <w:rPr>
          <w:rFonts w:ascii="Courier New" w:hAnsi="Courier New" w:cs="Courier New" w:eastAsia="Courier New"/>
          <w:sz w:val="20"/>
        </w:rPr>
        <w:t/>
      </w:r>
    </w:p>
    <w:p>
      <w:pPr>
        <w:spacing w:after="0" w:before="0"/>
      </w:pPr>
      <w:r>
        <w:rPr>
          <w:rFonts w:ascii="Courier New" w:hAnsi="Courier New" w:cs="Courier New" w:eastAsia="Courier New"/>
          <w:sz w:val="20"/>
        </w:rPr>
        <w:t>La verificación de la firma electrónica respectiva se debe realizar mediante los mecanismos establecidos.</w:t>
      </w:r>
    </w:p>
    <w:p>
      <w:pPr>
        <w:spacing w:after="0" w:before="0"/>
      </w:pPr>
      <w:r>
        <w:rPr>
          <w:rFonts w:ascii="Courier New" w:hAnsi="Courier New" w:cs="Courier New" w:eastAsia="Courier New"/>
          <w:sz w:val="20"/>
        </w:rPr>
        <w:t>________________________________________________________________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no"?>
<Relationships xmlns="http://schemas.openxmlformats.org/package/2006/relationships">
<Relationship Id="rId1" Target="theme/theme1.xml" Type="http://schemas.openxmlformats.org/officeDocument/2006/relationships/theme"/>
<Relationship Id="rId2" Target="settings.xml" Type="http://schemas.openxmlformats.org/officeDocument/2006/relationships/settings"/>
<Relationship Id="rId3" Target="fontTable.xml" Type="http://schemas.openxmlformats.org/officeDocument/2006/relationships/fontTable"/>
<Relationship Id="rId4" Target="numbering.xml" Type="http://schemas.openxmlformats.org/officeDocument/2006/relationships/numbering"/>
<Relationship Id="rId5" Target="styles.xml" Type="http://schemas.openxmlformats.org/officeDocument/2006/relationships/styles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