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200"/>
        <w:ind w:left="360" w:right="360"/>
        <w:jc w:val="both"/>
      </w:pPr>
      <w:r>
        <w:rPr>
          <w:rFonts w:ascii="Georgia" w:cs="Georgia" w:eastAsia="Georgia" w:hAnsi="Georgia"/>
          <w:i/>
          <w:iCs/>
          <w:color w:val="555555"/>
          <w:sz w:val="20"/>
          <w:szCs w:val="20"/>
        </w:rPr>
        <w:t xml:space="preserve">Note on authorship: This document was first captured as a voice recording by Graham Stewart. It was subsequently organised, expanded, and tidied by Claude (Anthropic). The ideas, intentions, and voice remain Graham’s.</w:t>
      </w:r>
    </w:p>
    <w:p>
      <w:pPr>
        <w:spacing w:before="240" w:after="120"/>
        <w:jc w:val="center"/>
      </w:pPr>
      <w:r>
        <w:rPr>
          <w:rFonts w:ascii="Georgia" w:cs="Georgia" w:eastAsia="Georgia" w:hAnsi="Georgia"/>
          <w:b/>
          <w:bCs/>
          <w:color w:val="1F3864"/>
          <w:sz w:val="40"/>
          <w:szCs w:val="40"/>
        </w:rPr>
        <w:t xml:space="preserve">Hitchhiker’s Guide to Earth</w:t>
      </w:r>
    </w:p>
    <w:p>
      <w:pPr>
        <w:spacing w:before="0" w:after="80"/>
        <w:jc w:val="center"/>
      </w:pPr>
      <w:r>
        <w:rPr>
          <w:rFonts w:ascii="Georgia" w:cs="Georgia" w:eastAsia="Georgia" w:hAnsi="Georgia"/>
          <w:i/>
          <w:iCs/>
          <w:color w:val="555555"/>
          <w:sz w:val="24"/>
          <w:szCs w:val="24"/>
        </w:rPr>
        <w:t xml:space="preserve">A conversation starter on story, culture, and global governance</w:t>
      </w:r>
    </w:p>
    <w:p>
      <w:pPr>
        <w:spacing w:before="0" w:after="60"/>
        <w:jc w:val="center"/>
      </w:pPr>
      <w:r>
        <w:rPr>
          <w:rFonts w:ascii="Georgia" w:cs="Georgia" w:eastAsia="Georgia" w:hAnsi="Georgia"/>
          <w:color w:val="888888"/>
          <w:sz w:val="22"/>
          <w:szCs w:val="22"/>
        </w:rPr>
        <w:t xml:space="preserve">Winter, 2026</w:t>
      </w:r>
    </w:p>
    <w:p>
      <w:pPr>
        <w:spacing w:before="60" w:after="360"/>
        <w:jc w:val="center"/>
      </w:pPr>
      <w:r>
        <w:rPr>
          <w:rFonts w:ascii="Georgia" w:cs="Georgia" w:eastAsia="Georgia" w:hAnsi="Georgia"/>
          <w:i/>
          <w:iCs/>
          <w:color w:val="666666"/>
          <w:sz w:val="22"/>
          <w:szCs w:val="22"/>
        </w:rPr>
        <w:t xml:space="preserve">This document is intended as an invitation to conversation rather than a fixed proposal.</w:t>
      </w:r>
    </w:p>
    <w:p>
      <w:pPr>
        <w:pBdr>
          <w:bottom w:val="single" w:color="2E75B6" w:sz="6" w:space="1"/>
        </w:pBdr>
        <w:spacing w:before="200" w:after="200"/>
      </w:pPr>
    </w:p>
    <w:p>
      <w:pPr>
        <w:pStyle w:val="Heading1"/>
        <w:spacing w:before="400" w:after="160"/>
      </w:pPr>
      <w:r>
        <w:rPr>
          <w:rFonts w:ascii="Georgia" w:cs="Georgia" w:eastAsia="Georgia" w:hAnsi="Georgia"/>
          <w:b/>
          <w:bCs/>
          <w:color w:val="1F3864"/>
          <w:sz w:val="28"/>
          <w:szCs w:val="28"/>
        </w:rPr>
        <w:t xml:space="preserve">Background</w:t>
      </w:r>
    </w:p>
    <w:p>
      <w:pPr>
        <w:spacing w:before="100" w:after="160"/>
        <w:jc w:val="both"/>
      </w:pPr>
      <w:r>
        <w:rPr>
          <w:rFonts w:ascii="Georgia" w:cs="Georgia" w:eastAsia="Georgia" w:hAnsi="Georgia"/>
          <w:sz w:val="22"/>
          <w:szCs w:val="22"/>
        </w:rPr>
        <w:t xml:space="preserve">We start with a simple observation: some stories shape how large numbers of people think about the world, power, and how decisions are made together — often more effectively than formal theories or institutions.</w:t>
      </w:r>
    </w:p>
    <w:p>
      <w:pPr>
        <w:spacing w:before="100" w:after="160"/>
        <w:jc w:val="both"/>
      </w:pPr>
      <w:r>
        <w:rPr>
          <w:rFonts w:ascii="Georgia" w:cs="Georgia" w:eastAsia="Georgia" w:hAnsi="Georgia"/>
          <w:sz w:val="22"/>
          <w:szCs w:val="22"/>
        </w:rPr>
        <w:t xml:space="preserve">One such story is The Hitchhiker’s Guide to the Galaxy by Douglas Adams.</w:t>
      </w:r>
    </w:p>
    <w:p>
      <w:pPr>
        <w:spacing w:before="100" w:after="160"/>
        <w:jc w:val="both"/>
      </w:pPr>
      <w:r>
        <w:rPr>
          <w:rFonts w:ascii="Georgia" w:cs="Georgia" w:eastAsia="Georgia" w:hAnsi="Georgia"/>
          <w:sz w:val="22"/>
          <w:szCs w:val="22"/>
        </w:rPr>
        <w:t xml:space="preserve">First published in the late 1970s, the Hitchhiker’s books are widely known as comic science fiction. Beneath the humour, the work explores serious themes: complexity, bureaucracy, overconfidence, technology, and the limits of human understanding. Douglas Adams was deeply interested in science, evolution, and the unintended consequences of human systems.</w:t>
      </w:r>
    </w:p>
    <w:p>
      <w:pPr>
        <w:spacing w:before="100" w:after="160"/>
        <w:jc w:val="both"/>
      </w:pPr>
      <w:r>
        <w:rPr>
          <w:rFonts w:ascii="Georgia" w:cs="Georgia" w:eastAsia="Georgia" w:hAnsi="Georgia"/>
          <w:sz w:val="22"/>
          <w:szCs w:val="22"/>
        </w:rPr>
        <w:t xml:space="preserve">The books have sold over 15 million copies worldwide and have become part of shared cultural literacy in the English-speaking world. Millions of copies were also sold in 30 languages, one of which is Catalan.</w:t>
      </w:r>
    </w:p>
    <w:p>
      <w:pPr>
        <w:spacing w:before="100" w:after="160"/>
        <w:jc w:val="both"/>
      </w:pPr>
      <w:r>
        <w:rPr>
          <w:rFonts w:ascii="Georgia" w:cs="Georgia" w:eastAsia="Georgia" w:hAnsi="Georgia"/>
          <w:sz w:val="22"/>
          <w:szCs w:val="22"/>
        </w:rPr>
        <w:t xml:space="preserve">Many people aged 45 and over know the work well, and its ideas, phrases, and characters continue to circulate across generations. This is not a niche reference, but a widely recognised cultural framework with long-standing influence and a committed following.</w:t>
      </w:r>
    </w:p>
    <w:p>
      <w:pPr>
        <w:pBdr>
          <w:bottom w:val="single" w:color="2E75B6" w:sz="6" w:space="1"/>
        </w:pBdr>
        <w:spacing w:before="200" w:after="200"/>
      </w:pPr>
    </w:p>
    <w:p>
      <w:pPr>
        <w:pStyle w:val="Heading1"/>
        <w:spacing w:before="400" w:after="160"/>
      </w:pPr>
      <w:r>
        <w:rPr>
          <w:rFonts w:ascii="Georgia" w:cs="Georgia" w:eastAsia="Georgia" w:hAnsi="Georgia"/>
          <w:b/>
          <w:bCs/>
          <w:color w:val="1F3864"/>
          <w:sz w:val="28"/>
          <w:szCs w:val="28"/>
        </w:rPr>
        <w:t xml:space="preserve">Fast-forward to 2026</w:t>
      </w:r>
    </w:p>
    <w:p>
      <w:pPr>
        <w:spacing w:before="100" w:after="160"/>
        <w:jc w:val="both"/>
      </w:pPr>
      <w:r>
        <w:rPr>
          <w:rFonts w:ascii="Georgia" w:cs="Georgia" w:eastAsia="Georgia" w:hAnsi="Georgia"/>
          <w:sz w:val="22"/>
          <w:szCs w:val="22"/>
        </w:rPr>
        <w:t xml:space="preserve">Douglas Adams wrote a dozen books in total, a radio script, a film script (Hitchhiker’s became a Hollywood film in 2005) and one of the first narrative-based computer games. He also, along with Robbie Stamp and some other friends, started the website www.h2g2.com, which preceded Wikipedia, in the late 1990s. After his unexpected death in 2001, the friends and colleagues of Douglas kept the work going, always maintaining the vision of one day building a global social network where people created their own guides to how to live on Earth.</w:t>
      </w:r>
    </w:p>
    <w:p>
      <w:pPr>
        <w:spacing w:before="100" w:after="160"/>
        <w:jc w:val="both"/>
      </w:pPr>
      <w:r>
        <w:rPr>
          <w:rFonts w:ascii="Georgia" w:cs="Georgia" w:eastAsia="Georgia" w:hAnsi="Georgia"/>
          <w:sz w:val="22"/>
          <w:szCs w:val="22"/>
        </w:rPr>
        <w:t xml:space="preserve">At its core, the current Hitchhiker’s project asks a question that feels increasingly relevant today:</w:t>
      </w:r>
    </w:p>
    <w:p>
      <w:pPr>
        <w:spacing w:before="160" w:after="160"/>
        <w:ind w:left="720" w:right="720"/>
        <w:jc w:val="center"/>
      </w:pPr>
      <w:r>
        <w:rPr>
          <w:rFonts w:ascii="Georgia" w:cs="Georgia" w:eastAsia="Georgia" w:hAnsi="Georgia"/>
          <w:i/>
          <w:iCs/>
          <w:color w:val="444444"/>
          <w:sz w:val="22"/>
          <w:szCs w:val="22"/>
        </w:rPr>
        <w:t xml:space="preserve">how do humans make decisions together in systems that are far larger, faster, and more complex than their ability to fully understand?</w:t>
      </w:r>
    </w:p>
    <w:p>
      <w:pPr>
        <w:spacing w:before="100" w:after="160"/>
        <w:jc w:val="both"/>
      </w:pPr>
      <w:r>
        <w:rPr>
          <w:rFonts w:ascii="Georgia" w:cs="Georgia" w:eastAsia="Georgia" w:hAnsi="Georgia"/>
          <w:sz w:val="22"/>
          <w:szCs w:val="22"/>
        </w:rPr>
        <w:t xml:space="preserve">Throughout the story, Adams consistently challenges blind faith in bureaucracy, technocratic certainty, and the assumption that order, measurement, and procedure automatically produce wisdom. Instead, the work points toward humility, adaptability, humour, and shared sense-making as necessary responses to uncertainty.</w:t>
      </w:r>
    </w:p>
    <w:p>
      <w:pPr>
        <w:spacing w:before="100" w:after="160"/>
        <w:jc w:val="both"/>
      </w:pPr>
      <w:r>
        <w:rPr>
          <w:rFonts w:ascii="Georgia" w:cs="Georgia" w:eastAsia="Georgia" w:hAnsi="Georgia"/>
          <w:sz w:val="22"/>
          <w:szCs w:val="22"/>
        </w:rPr>
        <w:t xml:space="preserve">These themes map directly onto contemporary questions in global governance, including climate change, technological acceleration, democratic legitimacy, migration, and institutional trust.</w:t>
      </w:r>
    </w:p>
    <w:p>
      <w:pPr>
        <w:spacing w:before="100" w:after="160"/>
        <w:jc w:val="both"/>
      </w:pPr>
      <w:r>
        <w:rPr>
          <w:rFonts w:ascii="Georgia" w:cs="Georgia" w:eastAsia="Georgia" w:hAnsi="Georgia"/>
          <w:sz w:val="22"/>
          <w:szCs w:val="22"/>
        </w:rPr>
        <w:t xml:space="preserve">The intention here is not to treat Hitchhiker’s as a solution or a model for governance. Rather, it can function as a shared reference point that helps people talk about complexity without panic, question authority without cynicism, and think together across disciplines, cultures, and generations.</w:t>
      </w:r>
    </w:p>
    <w:p>
      <w:pPr>
        <w:spacing w:before="100" w:after="160"/>
        <w:jc w:val="both"/>
      </w:pPr>
      <w:r>
        <w:rPr>
          <w:rFonts w:ascii="Georgia" w:cs="Georgia" w:eastAsia="Georgia" w:hAnsi="Georgia"/>
          <w:sz w:val="22"/>
          <w:szCs w:val="22"/>
        </w:rPr>
        <w:t xml:space="preserve">Because the story is already widely known and emotionally resonant, it lowers the barrier to engagement and opens space for serious inquiry — particularly with students who may feel alienated by abstract or overly technical approaches to governance.</w:t>
      </w:r>
    </w:p>
    <w:p>
      <w:pPr>
        <w:spacing w:before="100" w:after="160"/>
        <w:jc w:val="both"/>
      </w:pPr>
      <w:r>
        <w:rPr>
          <w:rFonts w:ascii="Georgia" w:cs="Georgia" w:eastAsia="Georgia" w:hAnsi="Georgia"/>
          <w:sz w:val="22"/>
          <w:szCs w:val="22"/>
        </w:rPr>
        <w:t xml:space="preserve">This work is deliberately open and lightly framed. The interest is in exploring whether a shared cultural story, with significant intellectual property and cultural capital behind it, can support new forms of dialogue, learning, and inquiry around global governance.</w:t>
      </w:r>
    </w:p>
    <w:p>
      <w:pPr>
        <w:pBdr>
          <w:bottom w:val="single" w:color="2E75B6" w:sz="6" w:space="1"/>
        </w:pBdr>
        <w:spacing w:before="200" w:after="200"/>
      </w:pPr>
    </w:p>
    <w:p>
      <w:pPr>
        <w:pStyle w:val="Heading1"/>
        <w:spacing w:before="400" w:after="160"/>
      </w:pPr>
      <w:r>
        <w:rPr>
          <w:rFonts w:ascii="Georgia" w:cs="Georgia" w:eastAsia="Georgia" w:hAnsi="Georgia"/>
          <w:b/>
          <w:bCs/>
          <w:color w:val="1F3864"/>
          <w:sz w:val="28"/>
          <w:szCs w:val="28"/>
        </w:rPr>
        <w:t xml:space="preserve">Potential Areas of Collaboration</w:t>
      </w:r>
    </w:p>
    <w:p>
      <w:pPr>
        <w:spacing w:before="100" w:after="160"/>
        <w:jc w:val="both"/>
      </w:pPr>
      <w:r>
        <w:rPr>
          <w:rFonts w:ascii="Georgia" w:cs="Georgia" w:eastAsia="Georgia" w:hAnsi="Georgia"/>
          <w:sz w:val="22"/>
          <w:szCs w:val="22"/>
        </w:rPr>
        <w:t xml:space="preserve">While this document is primarily an invitation to dialogue, we are also exploring concrete forms of institutional partnership — particularly in the areas of governance research, civic education, and community-led inquiry.</w:t>
      </w:r>
    </w:p>
    <w:p>
      <w:pPr>
        <w:pStyle w:val="Heading2"/>
        <w:spacing w:before="320" w:after="120"/>
      </w:pPr>
      <w:r>
        <w:rPr>
          <w:rFonts w:ascii="Georgia" w:cs="Georgia" w:eastAsia="Georgia" w:hAnsi="Georgia"/>
          <w:b/>
          <w:bCs/>
          <w:color w:val="2E75B6"/>
          <w:sz w:val="24"/>
          <w:szCs w:val="24"/>
        </w:rPr>
        <w:t xml:space="preserve">Partnership with Constitutional Lawyers</w:t>
      </w:r>
    </w:p>
    <w:p>
      <w:pPr>
        <w:spacing w:before="100" w:after="160"/>
        <w:jc w:val="both"/>
      </w:pPr>
      <w:r>
        <w:rPr>
          <w:rFonts w:ascii="Georgia" w:cs="Georgia" w:eastAsia="Georgia" w:hAnsi="Georgia"/>
          <w:sz w:val="22"/>
          <w:szCs w:val="22"/>
        </w:rPr>
        <w:t xml:space="preserve">One active strand of work involves a potential collaboration with constitutional lawyers whose practice intersects with questions of institutional design, civic rights, and governance under complexity. A key figure in this conversation is Dr Heather Allansdottir — a constitutional and public international law scholar whose work spans comparative constitutional law, human rights, climate governance, and space law (see Appendix for full profile).</w:t>
      </w:r>
    </w:p>
    <w:p>
      <w:pPr>
        <w:spacing w:before="100" w:after="160"/>
        <w:jc w:val="both"/>
      </w:pPr>
      <w:r>
        <w:rPr>
          <w:rFonts w:ascii="Georgia" w:cs="Georgia" w:eastAsia="Georgia" w:hAnsi="Georgia"/>
          <w:sz w:val="22"/>
          <w:szCs w:val="22"/>
        </w:rPr>
        <w:t xml:space="preserve">We are in early conversation about how the Hitchhiker’s framework might serve as a productive lens for shared work, particularly around:</w:t>
      </w:r>
    </w:p>
    <w:p>
      <w:pPr>
        <w:pStyle w:val="ListParagraph"/>
        <w:numPr>
          <w:ilvl w:val="0"/>
          <w:numId w:val="2"/>
        </w:numPr>
        <w:spacing w:before="60" w:after="80"/>
      </w:pPr>
      <w:r>
        <w:rPr>
          <w:rFonts w:ascii="Georgia" w:cs="Georgia" w:eastAsia="Georgia" w:hAnsi="Georgia"/>
          <w:sz w:val="22"/>
          <w:szCs w:val="22"/>
        </w:rPr>
        <w:t xml:space="preserve">Supporting governance literacy and legal education initiatives</w:t>
      </w:r>
    </w:p>
    <w:p>
      <w:pPr>
        <w:pStyle w:val="ListParagraph"/>
        <w:numPr>
          <w:ilvl w:val="0"/>
          <w:numId w:val="2"/>
        </w:numPr>
        <w:spacing w:before="60" w:after="80"/>
      </w:pPr>
      <w:r>
        <w:rPr>
          <w:rFonts w:ascii="Georgia" w:cs="Georgia" w:eastAsia="Georgia" w:hAnsi="Georgia"/>
          <w:sz w:val="22"/>
          <w:szCs w:val="22"/>
        </w:rPr>
        <w:t xml:space="preserve">Contributing to research on participatory and commons-based legal and constitutional structures</w:t>
      </w:r>
    </w:p>
    <w:p>
      <w:pPr>
        <w:pStyle w:val="ListParagraph"/>
        <w:numPr>
          <w:ilvl w:val="0"/>
          <w:numId w:val="2"/>
        </w:numPr>
        <w:spacing w:before="60" w:after="80"/>
      </w:pPr>
      <w:r>
        <w:rPr>
          <w:rFonts w:ascii="Georgia" w:cs="Georgia" w:eastAsia="Georgia" w:hAnsi="Georgia"/>
          <w:sz w:val="22"/>
          <w:szCs w:val="22"/>
        </w:rPr>
        <w:t xml:space="preserve">Co-developing resources that translate complex governance questions into publicly accessible formats</w:t>
      </w:r>
    </w:p>
    <w:p>
      <w:pPr>
        <w:pStyle w:val="ListParagraph"/>
        <w:numPr>
          <w:ilvl w:val="0"/>
          <w:numId w:val="2"/>
        </w:numPr>
        <w:spacing w:before="60" w:after="80"/>
      </w:pPr>
      <w:r>
        <w:rPr>
          <w:rFonts w:ascii="Georgia" w:cs="Georgia" w:eastAsia="Georgia" w:hAnsi="Georgia"/>
          <w:sz w:val="22"/>
          <w:szCs w:val="22"/>
        </w:rPr>
        <w:t xml:space="preserve">Exploring constitutional mechanisms for responding to the climate emergency</w:t>
      </w:r>
    </w:p>
    <w:p>
      <w:pPr>
        <w:spacing w:before="100" w:after="160"/>
        <w:jc w:val="both"/>
      </w:pPr>
      <w:r>
        <w:rPr>
          <w:rFonts w:ascii="Georgia" w:cs="Georgia" w:eastAsia="Georgia" w:hAnsi="Georgia"/>
          <w:sz w:val="22"/>
          <w:szCs w:val="22"/>
        </w:rPr>
        <w:t xml:space="preserve">Heather’s background in comparative constitutionalism — including fieldwork in Egypt, Iceland, Jordan, and the UK, and recent work at the Lauterpacht Centre for International Law at Cambridge — brings both depth and breadth to the kinds of questions H2GE is trying to open up. Her stated concern about the gap between STEM and humanities communities also resonates directly with the Hitchhiker’s project’s commitment to cross-disciplinary sense-making.</w:t>
      </w:r>
    </w:p>
    <w:p>
      <w:pPr>
        <w:pStyle w:val="Heading2"/>
        <w:spacing w:before="320" w:after="120"/>
      </w:pPr>
      <w:r>
        <w:rPr>
          <w:rFonts w:ascii="Georgia" w:cs="Georgia" w:eastAsia="Georgia" w:hAnsi="Georgia"/>
          <w:b/>
          <w:bCs/>
          <w:color w:val="2E75B6"/>
          <w:sz w:val="24"/>
          <w:szCs w:val="24"/>
        </w:rPr>
        <w:t xml:space="preserve">Funding</w:t>
      </w:r>
    </w:p>
    <w:p>
      <w:pPr>
        <w:spacing w:before="100" w:after="160"/>
        <w:jc w:val="both"/>
      </w:pPr>
      <w:r>
        <w:rPr>
          <w:rFonts w:ascii="Georgia" w:cs="Georgia" w:eastAsia="Georgia" w:hAnsi="Georgia"/>
          <w:sz w:val="22"/>
          <w:szCs w:val="22"/>
        </w:rPr>
        <w:t xml:space="preserve">We anticipate that funding for this work will come through Heather’s institutional relationships — at Oxford and associated institutions — rather than through open competitive calls. We are not pursuing generic grant frameworks. The intention is to work within networks of trust that already exist, and to let the funding follow the relationships rather than the other way around.</w:t>
      </w:r>
    </w:p>
    <w:p>
      <w:pPr>
        <w:pBdr>
          <w:bottom w:val="single" w:color="2E75B6" w:sz="6" w:space="1"/>
        </w:pBdr>
        <w:spacing w:before="200" w:after="200"/>
      </w:pPr>
    </w:p>
    <w:p>
      <w:pPr>
        <w:pStyle w:val="Heading1"/>
        <w:spacing w:before="400" w:after="160"/>
      </w:pPr>
      <w:r>
        <w:rPr>
          <w:rFonts w:ascii="Georgia" w:cs="Georgia" w:eastAsia="Georgia" w:hAnsi="Georgia"/>
          <w:b/>
          <w:bCs/>
          <w:color w:val="1F3864"/>
          <w:sz w:val="28"/>
          <w:szCs w:val="28"/>
        </w:rPr>
        <w:t xml:space="preserve">Reciprocal Working Agreement for Students</w:t>
      </w:r>
    </w:p>
    <w:p>
      <w:pPr>
        <w:spacing w:before="100" w:after="160"/>
        <w:jc w:val="both"/>
      </w:pPr>
      <w:r>
        <w:rPr>
          <w:rFonts w:ascii="Georgia" w:cs="Georgia" w:eastAsia="Georgia" w:hAnsi="Georgia"/>
          <w:sz w:val="22"/>
          <w:szCs w:val="22"/>
        </w:rPr>
        <w:t xml:space="preserve">One of the distinguishing features of the Hitchhiker’s Guide to Earth project is its commitment to federated, non-hierarchical collaboration. This shapes how we think about student involvement.</w:t>
      </w:r>
    </w:p>
    <w:p>
      <w:pPr>
        <w:spacing w:before="100" w:after="160"/>
        <w:jc w:val="both"/>
      </w:pPr>
      <w:r>
        <w:rPr>
          <w:rFonts w:ascii="Georgia" w:cs="Georgia" w:eastAsia="Georgia" w:hAnsi="Georgia"/>
          <w:sz w:val="22"/>
          <w:szCs w:val="22"/>
        </w:rPr>
        <w:t xml:space="preserve">Rather than offering one-way placement or observation opportunities, we are interested in building a genuine exchange — where students bring their expertise, perspectives, and curiosity, and receive something meaningful in return.</w:t>
      </w:r>
    </w:p>
    <w:p>
      <w:pPr>
        <w:pStyle w:val="Heading2"/>
        <w:spacing w:before="320" w:after="120"/>
      </w:pPr>
      <w:r>
        <w:rPr>
          <w:rFonts w:ascii="Georgia" w:cs="Georgia" w:eastAsia="Georgia" w:hAnsi="Georgia"/>
          <w:b/>
          <w:bCs/>
          <w:color w:val="2E75B6"/>
          <w:sz w:val="24"/>
          <w:szCs w:val="24"/>
        </w:rPr>
        <w:t xml:space="preserve">What We Offer</w:t>
      </w:r>
    </w:p>
    <w:p>
      <w:pPr>
        <w:pStyle w:val="ListParagraph"/>
        <w:numPr>
          <w:ilvl w:val="0"/>
          <w:numId w:val="2"/>
        </w:numPr>
        <w:spacing w:before="60" w:after="80"/>
      </w:pPr>
      <w:r>
        <w:rPr>
          <w:rFonts w:ascii="Georgia" w:cs="Georgia" w:eastAsia="Georgia" w:hAnsi="Georgia"/>
          <w:sz w:val="22"/>
          <w:szCs w:val="22"/>
        </w:rPr>
        <w:t xml:space="preserve">Active participation in a live, internationally networked cultural and governance project</w:t>
      </w:r>
    </w:p>
    <w:p>
      <w:pPr>
        <w:pStyle w:val="ListParagraph"/>
        <w:numPr>
          <w:ilvl w:val="0"/>
          <w:numId w:val="2"/>
        </w:numPr>
        <w:spacing w:before="60" w:after="80"/>
      </w:pPr>
      <w:r>
        <w:rPr>
          <w:rFonts w:ascii="Georgia" w:cs="Georgia" w:eastAsia="Georgia" w:hAnsi="Georgia"/>
          <w:sz w:val="22"/>
          <w:szCs w:val="22"/>
        </w:rPr>
        <w:t xml:space="preserve">Mentorship and collaborative working relationships with practitioners across governance, technology, cultural production, and community organising</w:t>
      </w:r>
    </w:p>
    <w:p>
      <w:pPr>
        <w:pStyle w:val="ListParagraph"/>
        <w:numPr>
          <w:ilvl w:val="0"/>
          <w:numId w:val="2"/>
        </w:numPr>
        <w:spacing w:before="60" w:after="80"/>
      </w:pPr>
      <w:r>
        <w:rPr>
          <w:rFonts w:ascii="Georgia" w:cs="Georgia" w:eastAsia="Georgia" w:hAnsi="Georgia"/>
          <w:sz w:val="22"/>
          <w:szCs w:val="22"/>
        </w:rPr>
        <w:t xml:space="preserve">Co-authorship credit on any outputs (wiki pages, event formats, research notes, publications) where the student’s contribution is substantive</w:t>
      </w:r>
    </w:p>
    <w:p>
      <w:pPr>
        <w:pStyle w:val="ListParagraph"/>
        <w:numPr>
          <w:ilvl w:val="0"/>
          <w:numId w:val="2"/>
        </w:numPr>
        <w:spacing w:before="60" w:after="80"/>
      </w:pPr>
      <w:r>
        <w:rPr>
          <w:rFonts w:ascii="Georgia" w:cs="Georgia" w:eastAsia="Georgia" w:hAnsi="Georgia"/>
          <w:sz w:val="22"/>
          <w:szCs w:val="22"/>
        </w:rPr>
        <w:t xml:space="preserve">Access to the H2GE network of 42 community catalysts across multiple countries and cultural contexts</w:t>
      </w:r>
    </w:p>
    <w:p>
      <w:pPr>
        <w:pStyle w:val="ListParagraph"/>
        <w:numPr>
          <w:ilvl w:val="0"/>
          <w:numId w:val="2"/>
        </w:numPr>
        <w:spacing w:before="60" w:after="80"/>
      </w:pPr>
      <w:r>
        <w:rPr>
          <w:rFonts w:ascii="Georgia" w:cs="Georgia" w:eastAsia="Georgia" w:hAnsi="Georgia"/>
          <w:sz w:val="22"/>
          <w:szCs w:val="22"/>
        </w:rPr>
        <w:t xml:space="preserve">The opportunity to contribute to, and be named in, any funding applications or institutional partnerships that develop from shared work</w:t>
      </w:r>
    </w:p>
    <w:p>
      <w:pPr>
        <w:pStyle w:val="ListParagraph"/>
        <w:numPr>
          <w:ilvl w:val="0"/>
          <w:numId w:val="2"/>
        </w:numPr>
        <w:spacing w:before="60" w:after="80"/>
      </w:pPr>
      <w:r>
        <w:rPr>
          <w:rFonts w:ascii="Georgia" w:cs="Georgia" w:eastAsia="Georgia" w:hAnsi="Georgia"/>
          <w:sz w:val="22"/>
          <w:szCs w:val="22"/>
        </w:rPr>
        <w:t xml:space="preserve">A reference letter or formal recognition of contribution, tailored to the student’s own professional or academic development goals</w:t>
      </w:r>
    </w:p>
    <w:p>
      <w:pPr>
        <w:pStyle w:val="Heading2"/>
        <w:spacing w:before="320" w:after="120"/>
      </w:pPr>
      <w:r>
        <w:rPr>
          <w:rFonts w:ascii="Georgia" w:cs="Georgia" w:eastAsia="Georgia" w:hAnsi="Georgia"/>
          <w:b/>
          <w:bCs/>
          <w:color w:val="2E75B6"/>
          <w:sz w:val="24"/>
          <w:szCs w:val="24"/>
        </w:rPr>
        <w:t xml:space="preserve">What We Ask</w:t>
      </w:r>
    </w:p>
    <w:p>
      <w:pPr>
        <w:pStyle w:val="ListParagraph"/>
        <w:numPr>
          <w:ilvl w:val="0"/>
          <w:numId w:val="2"/>
        </w:numPr>
        <w:spacing w:before="60" w:after="80"/>
      </w:pPr>
      <w:r>
        <w:rPr>
          <w:rFonts w:ascii="Georgia" w:cs="Georgia" w:eastAsia="Georgia" w:hAnsi="Georgia"/>
          <w:sz w:val="22"/>
          <w:szCs w:val="22"/>
        </w:rPr>
        <w:t xml:space="preserve">Genuine intellectual engagement with the project’s questions — not just task completion</w:t>
      </w:r>
    </w:p>
    <w:p>
      <w:pPr>
        <w:pStyle w:val="ListParagraph"/>
        <w:numPr>
          <w:ilvl w:val="0"/>
          <w:numId w:val="2"/>
        </w:numPr>
        <w:spacing w:before="60" w:after="80"/>
      </w:pPr>
      <w:r>
        <w:rPr>
          <w:rFonts w:ascii="Georgia" w:cs="Georgia" w:eastAsia="Georgia" w:hAnsi="Georgia"/>
          <w:sz w:val="22"/>
          <w:szCs w:val="22"/>
        </w:rPr>
        <w:t xml:space="preserve">Willingness to work across disciplines and in formats that may be unfamiliar (federated wiki, audio and video field notes, collaborative documents)</w:t>
      </w:r>
    </w:p>
    <w:p>
      <w:pPr>
        <w:pStyle w:val="ListParagraph"/>
        <w:numPr>
          <w:ilvl w:val="0"/>
          <w:numId w:val="2"/>
        </w:numPr>
        <w:spacing w:before="60" w:after="80"/>
      </w:pPr>
      <w:r>
        <w:rPr>
          <w:rFonts w:ascii="Georgia" w:cs="Georgia" w:eastAsia="Georgia" w:hAnsi="Georgia"/>
          <w:sz w:val="22"/>
          <w:szCs w:val="22"/>
        </w:rPr>
        <w:t xml:space="preserve">A commitment to reciprocity: sharing what you learn, and being open about what you don’t know</w:t>
      </w:r>
    </w:p>
    <w:p>
      <w:pPr>
        <w:pStyle w:val="ListParagraph"/>
        <w:numPr>
          <w:ilvl w:val="0"/>
          <w:numId w:val="2"/>
        </w:numPr>
        <w:spacing w:before="60" w:after="80"/>
      </w:pPr>
      <w:r>
        <w:rPr>
          <w:rFonts w:ascii="Georgia" w:cs="Georgia" w:eastAsia="Georgia" w:hAnsi="Georgia"/>
          <w:sz w:val="22"/>
          <w:szCs w:val="22"/>
        </w:rPr>
        <w:t xml:space="preserve">A minimum engagement period of one academic term, with regular check-ins to ensure the relationship remains useful for both parties</w:t>
      </w:r>
    </w:p>
    <w:p>
      <w:pPr>
        <w:pStyle w:val="Heading2"/>
        <w:spacing w:before="320" w:after="120"/>
      </w:pPr>
      <w:r>
        <w:rPr>
          <w:rFonts w:ascii="Georgia" w:cs="Georgia" w:eastAsia="Georgia" w:hAnsi="Georgia"/>
          <w:b/>
          <w:bCs/>
          <w:color w:val="2E75B6"/>
          <w:sz w:val="24"/>
          <w:szCs w:val="24"/>
        </w:rPr>
        <w:t xml:space="preserve">Scope of Agreement</w:t>
      </w:r>
    </w:p>
    <w:p>
      <w:pPr>
        <w:spacing w:before="100" w:after="160"/>
        <w:jc w:val="both"/>
      </w:pPr>
      <w:r>
        <w:rPr>
          <w:rFonts w:ascii="Georgia" w:cs="Georgia" w:eastAsia="Georgia" w:hAnsi="Georgia"/>
          <w:sz w:val="22"/>
          <w:szCs w:val="22"/>
        </w:rPr>
        <w:t xml:space="preserve">Any student wishing to collaborate formally with the Hitchhiker’s Guide to Earth project would be invited to co-author a brief working agreement at the outset — covering scope, expected outputs, time commitment, and attribution. This is not a contract, but a shared document of intent, revisable by either party. It reflects the project’s broader philosophy: that good collaboration begins with honest conversation about what each person needs and can offer.</w:t>
      </w:r>
    </w:p>
    <w:p>
      <w:pPr>
        <w:spacing w:before="100" w:after="160"/>
        <w:jc w:val="both"/>
      </w:pPr>
      <w:r>
        <w:rPr>
          <w:rFonts w:ascii="Georgia" w:cs="Georgia" w:eastAsia="Georgia" w:hAnsi="Georgia"/>
          <w:sz w:val="22"/>
          <w:szCs w:val="22"/>
        </w:rPr>
        <w:t xml:space="preserve">We are open to students working at any level — undergraduate, postgraduate, or doctoral — and across any relevant discipline, including governance, cultural studies, law, technology, design, anthropology, and communications.</w:t>
      </w:r>
    </w:p>
    <w:p>
      <w:pPr>
        <w:pBdr>
          <w:bottom w:val="single" w:color="2E75B6" w:sz="6" w:space="1"/>
        </w:pBdr>
        <w:spacing w:before="200" w:after="200"/>
      </w:pPr>
    </w:p>
    <w:p>
      <w:pPr>
        <w:pStyle w:val="Heading1"/>
        <w:spacing w:before="400" w:after="160"/>
      </w:pPr>
      <w:r>
        <w:rPr>
          <w:rFonts w:ascii="Georgia" w:cs="Georgia" w:eastAsia="Georgia" w:hAnsi="Georgia"/>
          <w:b/>
          <w:bCs/>
          <w:color w:val="1F3864"/>
          <w:sz w:val="28"/>
          <w:szCs w:val="28"/>
        </w:rPr>
        <w:t xml:space="preserve">Next Steps</w:t>
      </w:r>
    </w:p>
    <w:p>
      <w:pPr>
        <w:spacing w:before="100" w:after="160"/>
        <w:jc w:val="both"/>
      </w:pPr>
      <w:r>
        <w:rPr>
          <w:rFonts w:ascii="Georgia" w:cs="Georgia" w:eastAsia="Georgia" w:hAnsi="Georgia"/>
          <w:sz w:val="22"/>
          <w:szCs w:val="22"/>
        </w:rPr>
        <w:t xml:space="preserve">This note is offered simply as a starting point. If there is interest, the next step would be a conversation about whether, and how, such a cultural lens could be useful within an academic context — particularly in engaging students with questions of governance under uncertainty.</w:t>
      </w:r>
    </w:p>
    <w:p>
      <w:pPr>
        <w:spacing w:before="100" w:after="160"/>
        <w:jc w:val="both"/>
      </w:pPr>
      <w:r>
        <w:rPr>
          <w:rFonts w:ascii="Georgia" w:cs="Georgia" w:eastAsia="Georgia" w:hAnsi="Georgia"/>
          <w:sz w:val="22"/>
          <w:szCs w:val="22"/>
        </w:rPr>
        <w:t xml:space="preserve">We are equally open to exploratory conversations about funding collaboration, student partnerships, or the specific legal-governance thread involving constitutional law.</w:t>
      </w:r>
    </w:p>
    <w:p>
      <w:pPr>
        <w:spacing w:before="360" w:after="80"/>
      </w:pPr>
      <w:r>
        <w:rPr>
          <w:rFonts w:ascii="Georgia" w:cs="Georgia" w:eastAsia="Georgia" w:hAnsi="Georgia"/>
          <w:sz w:val="22"/>
          <w:szCs w:val="22"/>
        </w:rPr>
        <w:t xml:space="preserve">Warmly,</w:t>
      </w:r>
    </w:p>
    <w:p>
      <w:pPr>
        <w:spacing w:before="0" w:after="40"/>
      </w:pPr>
      <w:r>
        <w:rPr>
          <w:rFonts w:ascii="Georgia" w:cs="Georgia" w:eastAsia="Georgia" w:hAnsi="Georgia"/>
          <w:b/>
          <w:bCs/>
          <w:sz w:val="22"/>
          <w:szCs w:val="22"/>
        </w:rPr>
        <w:t xml:space="preserve">Graham Stewart</w:t>
      </w:r>
    </w:p>
    <w:p>
      <w:pPr>
        <w:spacing w:before="0" w:after="40"/>
      </w:pPr>
      <w:r>
        <w:rPr>
          <w:rFonts w:ascii="Georgia" w:cs="Georgia" w:eastAsia="Georgia" w:hAnsi="Georgia"/>
          <w:color w:val="555555"/>
          <w:sz w:val="22"/>
          <w:szCs w:val="22"/>
        </w:rPr>
        <w:t xml:space="preserve">Cerdanyola del Vallès</w:t>
      </w:r>
    </w:p>
    <w:p>
      <w:pPr>
        <w:spacing w:before="0" w:after="40"/>
      </w:pPr>
      <w:r>
        <w:rPr>
          <w:rFonts w:ascii="Georgia" w:cs="Georgia" w:eastAsia="Georgia" w:hAnsi="Georgia"/>
          <w:color w:val="2E75B6"/>
          <w:sz w:val="22"/>
          <w:szCs w:val="22"/>
        </w:rPr>
        <w:t xml:space="preserve">wgrahamstewart@gmail.com</w:t>
      </w:r>
    </w:p>
    <w:p>
      <w:pPr>
        <w:spacing w:before="0" w:after="40"/>
      </w:pPr>
      <w:r>
        <w:rPr>
          <w:rFonts w:ascii="Georgia" w:cs="Georgia" w:eastAsia="Georgia" w:hAnsi="Georgia"/>
          <w:color w:val="555555"/>
          <w:sz w:val="22"/>
          <w:szCs w:val="22"/>
        </w:rPr>
        <w:t xml:space="preserve">+34 658 366 933</w:t>
      </w:r>
    </w:p>
    <w:p>
      <w:pPr>
        <w:spacing w:before="0" w:after="0"/>
      </w:pPr>
      <w:r>
        <w:br w:type="page"/>
      </w:r>
    </w:p>
    <w:p>
      <w:pPr>
        <w:spacing w:before="0" w:after="80"/>
        <w:jc w:val="center"/>
      </w:pPr>
      <w:r>
        <w:rPr>
          <w:rFonts w:ascii="Georgia" w:cs="Georgia" w:eastAsia="Georgia" w:hAnsi="Georgia"/>
          <w:b/>
          <w:bCs/>
          <w:caps/>
          <w:color w:val="888888"/>
          <w:sz w:val="24"/>
          <w:szCs w:val="24"/>
        </w:rPr>
        <w:t xml:space="preserve">Appendix</w:t>
      </w:r>
    </w:p>
    <w:p>
      <w:pPr>
        <w:spacing w:before="0" w:after="80"/>
        <w:jc w:val="center"/>
      </w:pPr>
      <w:r>
        <w:rPr>
          <w:rFonts w:ascii="Georgia" w:cs="Georgia" w:eastAsia="Georgia" w:hAnsi="Georgia"/>
          <w:b/>
          <w:bCs/>
          <w:color w:val="1F3864"/>
          <w:sz w:val="36"/>
          <w:szCs w:val="36"/>
        </w:rPr>
        <w:t xml:space="preserve">Dr Heather Allansdottir</w:t>
      </w:r>
    </w:p>
    <w:p>
      <w:pPr>
        <w:spacing w:before="0" w:after="60"/>
        <w:jc w:val="center"/>
      </w:pPr>
      <w:r>
        <w:rPr>
          <w:rFonts w:ascii="Georgia" w:cs="Georgia" w:eastAsia="Georgia" w:hAnsi="Georgia"/>
          <w:i/>
          <w:iCs/>
          <w:color w:val="555555"/>
          <w:sz w:val="22"/>
          <w:szCs w:val="22"/>
        </w:rPr>
        <w:t xml:space="preserve">Constitutional Lawyer, Human Rights Scholar, Space Law Academic</w:t>
      </w:r>
    </w:p>
    <w:p>
      <w:pPr>
        <w:spacing w:before="0" w:after="360"/>
        <w:jc w:val="center"/>
      </w:pPr>
      <w:r>
        <w:rPr>
          <w:rFonts w:ascii="Georgia" w:cs="Georgia" w:eastAsia="Georgia" w:hAnsi="Georgia"/>
          <w:color w:val="2E75B6"/>
          <w:sz w:val="22"/>
          <w:szCs w:val="22"/>
        </w:rPr>
        <w:t xml:space="preserve">www.allansdottir.com</w:t>
      </w:r>
    </w:p>
    <w:p>
      <w:pPr>
        <w:pBdr>
          <w:bottom w:val="single" w:color="2E75B6" w:sz="6" w:space="1"/>
        </w:pBdr>
        <w:spacing w:before="200" w:after="200"/>
      </w:pPr>
    </w:p>
    <w:p>
      <w:pPr>
        <w:pStyle w:val="Heading1"/>
        <w:spacing w:before="400" w:after="160"/>
      </w:pPr>
      <w:r>
        <w:rPr>
          <w:rFonts w:ascii="Georgia" w:cs="Georgia" w:eastAsia="Georgia" w:hAnsi="Georgia"/>
          <w:b/>
          <w:bCs/>
          <w:color w:val="1F3864"/>
          <w:sz w:val="28"/>
          <w:szCs w:val="28"/>
        </w:rPr>
        <w:t xml:space="preserve">Overview</w:t>
      </w:r>
    </w:p>
    <w:p>
      <w:pPr>
        <w:spacing w:before="100" w:after="160"/>
        <w:jc w:val="both"/>
      </w:pPr>
      <w:r>
        <w:rPr>
          <w:rFonts w:ascii="Georgia" w:cs="Georgia" w:eastAsia="Georgia" w:hAnsi="Georgia"/>
          <w:sz w:val="22"/>
          <w:szCs w:val="22"/>
        </w:rPr>
        <w:t xml:space="preserve">Dr Heather Allansdottir (born Heather Katharine McRobie) is a British-Australian academic, writer, and legal scholar. She holds a doctorate in comparative constitutional law from the University of Oxford’s Centre for Socio-Legal Studies, with a thesis focused on the Egyptian constitutions following the 2011 revolution. She has since held academic posts at the University of Oxford, Tel Aviv University, Birkbeck University of London, the University of Law, and Bifröst University in Iceland, where she is currently Associate Professor. In 2024 she was a Visiting Fellow at the Lauterpacht Centre for International Law at the University of Cambridge. She is the 2026 residential fellow at Astralship.</w:t>
      </w:r>
    </w:p>
    <w:p>
      <w:pPr>
        <w:pBdr>
          <w:bottom w:val="single" w:color="2E75B6" w:sz="6" w:space="1"/>
        </w:pBdr>
        <w:spacing w:before="200" w:after="200"/>
      </w:pPr>
    </w:p>
    <w:p>
      <w:pPr>
        <w:pStyle w:val="Heading1"/>
        <w:spacing w:before="400" w:after="160"/>
      </w:pPr>
      <w:r>
        <w:rPr>
          <w:rFonts w:ascii="Georgia" w:cs="Georgia" w:eastAsia="Georgia" w:hAnsi="Georgia"/>
          <w:b/>
          <w:bCs/>
          <w:color w:val="1F3864"/>
          <w:sz w:val="28"/>
          <w:szCs w:val="28"/>
        </w:rPr>
        <w:t xml:space="preserve">Research Interests</w:t>
      </w:r>
    </w:p>
    <w:p>
      <w:pPr>
        <w:pStyle w:val="Heading2"/>
        <w:spacing w:before="320" w:after="120"/>
      </w:pPr>
      <w:r>
        <w:rPr>
          <w:rFonts w:ascii="Georgia" w:cs="Georgia" w:eastAsia="Georgia" w:hAnsi="Georgia"/>
          <w:b/>
          <w:bCs/>
          <w:color w:val="2E75B6"/>
          <w:sz w:val="24"/>
          <w:szCs w:val="24"/>
        </w:rPr>
        <w:t xml:space="preserve">Comparative Constitutional Law</w:t>
      </w:r>
    </w:p>
    <w:p>
      <w:pPr>
        <w:spacing w:before="100" w:after="160"/>
        <w:jc w:val="both"/>
      </w:pPr>
      <w:r>
        <w:rPr>
          <w:rFonts w:ascii="Georgia" w:cs="Georgia" w:eastAsia="Georgia" w:hAnsi="Georgia"/>
          <w:sz w:val="22"/>
          <w:szCs w:val="22"/>
        </w:rPr>
        <w:t xml:space="preserve">Heather’s foundational research is in comparative constitutional law and human rights, with a particular focus on constitution-writing processes during and after political transitions. Her doctoral and post-doctoral work concentrated on the Middle East and North Africa, examining transitional justice, legal pluralism, and constitutional change in Egypt, Libya, and Tunisia following the Arab Spring. She has also worked on the Icelandic constitution, and is currently examining the South Korean constitution in comparative perspective.</w:t>
      </w:r>
    </w:p>
    <w:p>
      <w:pPr>
        <w:pStyle w:val="Heading2"/>
        <w:spacing w:before="320" w:after="120"/>
      </w:pPr>
      <w:r>
        <w:rPr>
          <w:rFonts w:ascii="Georgia" w:cs="Georgia" w:eastAsia="Georgia" w:hAnsi="Georgia"/>
          <w:b/>
          <w:bCs/>
          <w:color w:val="2E75B6"/>
          <w:sz w:val="24"/>
          <w:szCs w:val="24"/>
        </w:rPr>
        <w:t xml:space="preserve">Climate Law and Constitutional Mechanisms</w:t>
      </w:r>
    </w:p>
    <w:p>
      <w:pPr>
        <w:spacing w:before="100" w:after="160"/>
        <w:jc w:val="both"/>
      </w:pPr>
      <w:r>
        <w:rPr>
          <w:rFonts w:ascii="Georgia" w:cs="Georgia" w:eastAsia="Georgia" w:hAnsi="Georgia"/>
          <w:sz w:val="22"/>
          <w:szCs w:val="22"/>
        </w:rPr>
        <w:t xml:space="preserve">Heather has lectured and published on the relationship between climate change and constitutional law, exploring how constitutional frameworks can be designed to respond to the climate emergency. This sits at an important intersection between governance, law, and long-term institutional design — areas directly relevant to H2GE’s inquiry into collective decision-making under complexity.</w:t>
      </w:r>
    </w:p>
    <w:p>
      <w:pPr>
        <w:pStyle w:val="Heading2"/>
        <w:spacing w:before="320" w:after="120"/>
      </w:pPr>
      <w:r>
        <w:rPr>
          <w:rFonts w:ascii="Georgia" w:cs="Georgia" w:eastAsia="Georgia" w:hAnsi="Georgia"/>
          <w:b/>
          <w:bCs/>
          <w:color w:val="2E75B6"/>
          <w:sz w:val="24"/>
          <w:szCs w:val="24"/>
        </w:rPr>
        <w:t xml:space="preserve">Space Law</w:t>
      </w:r>
    </w:p>
    <w:p>
      <w:pPr>
        <w:spacing w:before="100" w:after="160"/>
        <w:jc w:val="both"/>
      </w:pPr>
      <w:r>
        <w:rPr>
          <w:rFonts w:ascii="Georgia" w:cs="Georgia" w:eastAsia="Georgia" w:hAnsi="Georgia"/>
          <w:sz w:val="22"/>
          <w:szCs w:val="22"/>
        </w:rPr>
        <w:t xml:space="preserve">Since 2020, Heather has increasingly worked in the field of space law. She founded the research cluster Decolonise the Cosmos and the research project How To Write A Constitution. Her forthcoming books include New Perspectives on Outer Space Law (co-authored with Naman Anand, due with Springer) and Synthetic Mens Rea in Space Law (co-authored with Yug Raman Srivastava). She has also founded the space consultancy Astrodottir. Her view that the international community has a narrow window to develop adequate legal frameworks before commercial space activity outpaces existing law has direct resonance with broader questions about governance and complexity that H2GE explores.</w:t>
      </w:r>
    </w:p>
    <w:p>
      <w:pPr>
        <w:pStyle w:val="Heading2"/>
        <w:spacing w:before="320" w:after="120"/>
      </w:pPr>
      <w:r>
        <w:rPr>
          <w:rFonts w:ascii="Georgia" w:cs="Georgia" w:eastAsia="Georgia" w:hAnsi="Georgia"/>
          <w:b/>
          <w:bCs/>
          <w:color w:val="2E75B6"/>
          <w:sz w:val="24"/>
          <w:szCs w:val="24"/>
        </w:rPr>
        <w:t xml:space="preserve">Human Rights and International Law</w:t>
      </w:r>
    </w:p>
    <w:p>
      <w:pPr>
        <w:spacing w:before="100" w:after="160"/>
        <w:jc w:val="both"/>
      </w:pPr>
      <w:r>
        <w:rPr>
          <w:rFonts w:ascii="Georgia" w:cs="Georgia" w:eastAsia="Georgia" w:hAnsi="Georgia"/>
          <w:sz w:val="22"/>
          <w:szCs w:val="22"/>
        </w:rPr>
        <w:t xml:space="preserve">Heather’s earlier career included working with human rights NGOs in Jordan and Berlin, and holding post-doctoral positions in Tel Aviv and Moscow. She has published in and contributed to The Guardian, Al Jazeera, the New Statesman, the Times Literary Supplement, Foreign Policy, and openDemocracy, among others. She holds an Associate Fellowship at Oxford Global Society.</w:t>
      </w:r>
    </w:p>
    <w:p>
      <w:pPr>
        <w:pBdr>
          <w:bottom w:val="single" w:color="2E75B6" w:sz="6" w:space="1"/>
        </w:pBdr>
        <w:spacing w:before="200" w:after="200"/>
      </w:pPr>
    </w:p>
    <w:p>
      <w:pPr>
        <w:pStyle w:val="Heading1"/>
        <w:spacing w:before="400" w:after="160"/>
      </w:pPr>
      <w:r>
        <w:rPr>
          <w:rFonts w:ascii="Georgia" w:cs="Georgia" w:eastAsia="Georgia" w:hAnsi="Georgia"/>
          <w:b/>
          <w:bCs/>
          <w:color w:val="1F3864"/>
          <w:sz w:val="28"/>
          <w:szCs w:val="28"/>
        </w:rPr>
        <w:t xml:space="preserve">Education and Academic Positions</w:t>
      </w:r>
    </w:p>
    <w:p>
      <w:pPr>
        <w:pStyle w:val="ListParagraph"/>
        <w:numPr>
          <w:ilvl w:val="0"/>
          <w:numId w:val="2"/>
        </w:numPr>
        <w:spacing w:before="60" w:after="80"/>
      </w:pPr>
      <w:r>
        <w:rPr>
          <w:rFonts w:ascii="Georgia" w:cs="Georgia" w:eastAsia="Georgia" w:hAnsi="Georgia"/>
          <w:sz w:val="22"/>
          <w:szCs w:val="22"/>
        </w:rPr>
        <w:t xml:space="preserve">DPhil, Comparative Constitutional Law — University of Oxford, Centre for Socio-Legal Studies (2011–2016)</w:t>
      </w:r>
    </w:p>
    <w:p>
      <w:pPr>
        <w:pStyle w:val="ListParagraph"/>
        <w:numPr>
          <w:ilvl w:val="0"/>
          <w:numId w:val="2"/>
        </w:numPr>
        <w:spacing w:before="60" w:after="80"/>
      </w:pPr>
      <w:r>
        <w:rPr>
          <w:rFonts w:ascii="Georgia" w:cs="Georgia" w:eastAsia="Georgia" w:hAnsi="Georgia"/>
          <w:sz w:val="22"/>
          <w:szCs w:val="22"/>
        </w:rPr>
        <w:t xml:space="preserve">BA, Modern History and Politics — University of Oxford</w:t>
      </w:r>
    </w:p>
    <w:p>
      <w:pPr>
        <w:pStyle w:val="ListParagraph"/>
        <w:numPr>
          <w:ilvl w:val="0"/>
          <w:numId w:val="2"/>
        </w:numPr>
        <w:spacing w:before="60" w:after="80"/>
      </w:pPr>
      <w:r>
        <w:rPr>
          <w:rFonts w:ascii="Georgia" w:cs="Georgia" w:eastAsia="Georgia" w:hAnsi="Georgia"/>
          <w:sz w:val="22"/>
          <w:szCs w:val="22"/>
        </w:rPr>
        <w:t xml:space="preserve">Further studies — University of Sarajevo and McGill University, Montreal</w:t>
      </w:r>
    </w:p>
    <w:p>
      <w:pPr>
        <w:pStyle w:val="ListParagraph"/>
        <w:numPr>
          <w:ilvl w:val="0"/>
          <w:numId w:val="2"/>
        </w:numPr>
        <w:spacing w:before="60" w:after="80"/>
      </w:pPr>
      <w:r>
        <w:rPr>
          <w:rFonts w:ascii="Georgia" w:cs="Georgia" w:eastAsia="Georgia" w:hAnsi="Georgia"/>
          <w:sz w:val="22"/>
          <w:szCs w:val="22"/>
        </w:rPr>
        <w:t xml:space="preserve">Post-doctoral Fellow — Tel Aviv University, Buchmann Law Faculty</w:t>
      </w:r>
    </w:p>
    <w:p>
      <w:pPr>
        <w:pStyle w:val="ListParagraph"/>
        <w:numPr>
          <w:ilvl w:val="0"/>
          <w:numId w:val="2"/>
        </w:numPr>
        <w:spacing w:before="60" w:after="80"/>
      </w:pPr>
      <w:r>
        <w:rPr>
          <w:rFonts w:ascii="Georgia" w:cs="Georgia" w:eastAsia="Georgia" w:hAnsi="Georgia"/>
          <w:sz w:val="22"/>
          <w:szCs w:val="22"/>
        </w:rPr>
        <w:t xml:space="preserve">Academic posts in Australia and Iceland</w:t>
      </w:r>
    </w:p>
    <w:p>
      <w:pPr>
        <w:pStyle w:val="ListParagraph"/>
        <w:numPr>
          <w:ilvl w:val="0"/>
          <w:numId w:val="2"/>
        </w:numPr>
        <w:spacing w:before="60" w:after="80"/>
      </w:pPr>
      <w:r>
        <w:rPr>
          <w:rFonts w:ascii="Georgia" w:cs="Georgia" w:eastAsia="Georgia" w:hAnsi="Georgia"/>
          <w:sz w:val="22"/>
          <w:szCs w:val="22"/>
        </w:rPr>
        <w:t xml:space="preserve">Academic Tutor — The University of Law (from 2022)</w:t>
      </w:r>
    </w:p>
    <w:p>
      <w:pPr>
        <w:pStyle w:val="ListParagraph"/>
        <w:numPr>
          <w:ilvl w:val="0"/>
          <w:numId w:val="2"/>
        </w:numPr>
        <w:spacing w:before="60" w:after="80"/>
      </w:pPr>
      <w:r>
        <w:rPr>
          <w:rFonts w:ascii="Georgia" w:cs="Georgia" w:eastAsia="Georgia" w:hAnsi="Georgia"/>
          <w:sz w:val="22"/>
          <w:szCs w:val="22"/>
        </w:rPr>
        <w:t xml:space="preserve">Lecturer — Birkbeck University of London (2022–2024)</w:t>
      </w:r>
    </w:p>
    <w:p>
      <w:pPr>
        <w:pStyle w:val="ListParagraph"/>
        <w:numPr>
          <w:ilvl w:val="0"/>
          <w:numId w:val="2"/>
        </w:numPr>
        <w:spacing w:before="60" w:after="80"/>
      </w:pPr>
      <w:r>
        <w:rPr>
          <w:rFonts w:ascii="Georgia" w:cs="Georgia" w:eastAsia="Georgia" w:hAnsi="Georgia"/>
          <w:sz w:val="22"/>
          <w:szCs w:val="22"/>
        </w:rPr>
        <w:t xml:space="preserve">Visiting Fellow — Lauterpacht Centre for International Law, University of Cambridge (2024)</w:t>
      </w:r>
    </w:p>
    <w:p>
      <w:pPr>
        <w:pStyle w:val="ListParagraph"/>
        <w:numPr>
          <w:ilvl w:val="0"/>
          <w:numId w:val="2"/>
        </w:numPr>
        <w:spacing w:before="60" w:after="80"/>
      </w:pPr>
      <w:r>
        <w:rPr>
          <w:rFonts w:ascii="Georgia" w:cs="Georgia" w:eastAsia="Georgia" w:hAnsi="Georgia"/>
          <w:sz w:val="22"/>
          <w:szCs w:val="22"/>
        </w:rPr>
        <w:t xml:space="preserve">Associate Professor — Bifröst University, Iceland (current)</w:t>
      </w:r>
    </w:p>
    <w:p>
      <w:pPr>
        <w:pStyle w:val="ListParagraph"/>
        <w:numPr>
          <w:ilvl w:val="0"/>
          <w:numId w:val="2"/>
        </w:numPr>
        <w:spacing w:before="60" w:after="80"/>
      </w:pPr>
      <w:r>
        <w:rPr>
          <w:rFonts w:ascii="Georgia" w:cs="Georgia" w:eastAsia="Georgia" w:hAnsi="Georgia"/>
          <w:sz w:val="22"/>
          <w:szCs w:val="22"/>
        </w:rPr>
        <w:t xml:space="preserve">Residential Fellow — Astralship (2026)</w:t>
      </w:r>
    </w:p>
    <w:p>
      <w:pPr>
        <w:pBdr>
          <w:bottom w:val="single" w:color="2E75B6" w:sz="6" w:space="1"/>
        </w:pBdr>
        <w:spacing w:before="200" w:after="200"/>
      </w:pPr>
    </w:p>
    <w:p>
      <w:pPr>
        <w:pStyle w:val="Heading1"/>
        <w:spacing w:before="400" w:after="160"/>
      </w:pPr>
      <w:r>
        <w:rPr>
          <w:rFonts w:ascii="Georgia" w:cs="Georgia" w:eastAsia="Georgia" w:hAnsi="Georgia"/>
          <w:b/>
          <w:bCs/>
          <w:color w:val="1F3864"/>
          <w:sz w:val="28"/>
          <w:szCs w:val="28"/>
        </w:rPr>
        <w:t xml:space="preserve">Relevance to H2GE</w:t>
      </w:r>
    </w:p>
    <w:p>
      <w:pPr>
        <w:spacing w:before="100" w:after="160"/>
        <w:jc w:val="both"/>
      </w:pPr>
      <w:r>
        <w:rPr>
          <w:rFonts w:ascii="Georgia" w:cs="Georgia" w:eastAsia="Georgia" w:hAnsi="Georgia"/>
          <w:sz w:val="22"/>
          <w:szCs w:val="22"/>
        </w:rPr>
        <w:t xml:space="preserve">Heather’s work spans exactly the kinds of questions the Hitchhiker’s Guide to Earth project is trying to hold together: how societies write the rules they live by; what happens when those rules fail to keep pace with technological and political change; how different cultural and legal traditions approach questions of legitimacy, participation, and power.</w:t>
      </w:r>
    </w:p>
    <w:p>
      <w:pPr>
        <w:spacing w:before="100" w:after="160"/>
        <w:jc w:val="both"/>
      </w:pPr>
      <w:r>
        <w:rPr>
          <w:rFonts w:ascii="Georgia" w:cs="Georgia" w:eastAsia="Georgia" w:hAnsi="Georgia"/>
          <w:sz w:val="22"/>
          <w:szCs w:val="22"/>
        </w:rPr>
        <w:t xml:space="preserve">Her concern — expressed publicly — about the growing divide between STEM and humanities communities resonates with H2GE’s commitment to cross-disciplinary sense-making and the use of cultural story as a bridge between technical and humanistic approaches to governance.</w:t>
      </w:r>
    </w:p>
    <w:p>
      <w:pPr>
        <w:spacing w:before="100" w:after="160"/>
        <w:jc w:val="both"/>
      </w:pPr>
      <w:r>
        <w:rPr>
          <w:rFonts w:ascii="Georgia" w:cs="Georgia" w:eastAsia="Georgia" w:hAnsi="Georgia"/>
          <w:sz w:val="22"/>
          <w:szCs w:val="22"/>
        </w:rPr>
        <w:t xml:space="preserve">Her 2026 fellowship at Astralship, alongside her work on space governance and constitutional design, also opens interesting possibilities for conversations about long-term, planetary-scale governance — themes that sit naturally within the Hitchhiker’s imagination.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Georgia" w:cs="Georgia" w:eastAsia="Georgia" w:hAnsi="Georgia"/>
      <w:b/>
      <w:bCs/>
      <w:color w:val="1F3864"/>
      <w:sz w:val="28"/>
      <w:szCs w:val="28"/>
    </w:rPr>
  </w:style>
  <w:style w:type="paragraph" w:styleId="Heading2">
    <w:name w:val="Heading 2"/>
    <w:basedOn w:val="Normal"/>
    <w:next w:val="Normal"/>
    <w:qFormat/>
    <w:pPr>
      <w:spacing w:before="320" w:after="120"/>
      <w:outlineLvl w:val="1"/>
    </w:pPr>
    <w:rPr>
      <w:rFonts w:ascii="Georgia" w:cs="Georgia" w:eastAsia="Georgia" w:hAnsi="Georgia"/>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2026-03-15T16:09:04.774Z</dcterms:created>
  <dcterms:modified xsi:type="dcterms:W3CDTF">2026-03-15T16:09:04.775Z</dcterms:modified>
</cp:coreProperties>
</file>

<file path=docProps/custom.xml><?xml version="1.0" encoding="utf-8"?>
<Properties xmlns="http://schemas.openxmlformats.org/officeDocument/2006/custom-properties" xmlns:vt="http://schemas.openxmlformats.org/officeDocument/2006/docPropsVTypes"/>
</file>