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bookmarkStart w:id="0" w:name="_GoBack"/>
      <w:bookmarkEnd w:id="0"/>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C20B64"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5431C0">
                                  <w:rPr>
                                    <w:rFonts w:ascii="Conduit ITC Light" w:eastAsia="Adobe Song Std L" w:hAnsi="Conduit ITC Light" w:cstheme="minorHAnsi"/>
                                    <w:color w:val="FFFFFF" w:themeColor="background1"/>
                                    <w:sz w:val="54"/>
                                    <w:szCs w:val="32"/>
                                  </w:rPr>
                                  <w:t>Le</w:t>
                                </w:r>
                                <w:r w:rsidR="000E0BA9">
                                  <w:rPr>
                                    <w:rFonts w:ascii="Conduit ITC Light" w:eastAsia="Adobe Song Std L" w:hAnsi="Conduit ITC Light" w:cstheme="minorHAnsi"/>
                                    <w:color w:val="FFFFFF" w:themeColor="background1"/>
                                    <w:sz w:val="54"/>
                                    <w:szCs w:val="32"/>
                                  </w:rPr>
                                  <w:t xml:space="preserve"> </w:t>
                                </w:r>
                                <w:r w:rsidR="00240213">
                                  <w:rPr>
                                    <w:rFonts w:ascii="Conduit ITC Light" w:eastAsia="Adobe Song Std L" w:hAnsi="Conduit ITC Light" w:cstheme="minorHAnsi"/>
                                    <w:color w:val="FFFFFF" w:themeColor="background1"/>
                                    <w:sz w:val="54"/>
                                    <w:szCs w:val="32"/>
                                  </w:rPr>
                                  <w:t>jeu de la vie</w:t>
                                </w:r>
                              </w:sdtContent>
                            </w:sdt>
                            <w:r w:rsidR="00A0432F">
                              <w:rPr>
                                <w:rFonts w:ascii="Conduit ITC Light" w:eastAsia="Adobe Song Std L" w:hAnsi="Conduit ITC Light" w:cstheme="minorHAnsi"/>
                                <w:color w:val="FFFFFF" w:themeColor="background1"/>
                                <w:sz w:val="54"/>
                                <w:szCs w:val="3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26354E"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5431C0">
                            <w:rPr>
                              <w:rFonts w:ascii="Conduit ITC Light" w:eastAsia="Adobe Song Std L" w:hAnsi="Conduit ITC Light" w:cstheme="minorHAnsi"/>
                              <w:color w:val="FFFFFF" w:themeColor="background1"/>
                              <w:sz w:val="54"/>
                              <w:szCs w:val="32"/>
                            </w:rPr>
                            <w:t>Le</w:t>
                          </w:r>
                          <w:r w:rsidR="000E0BA9">
                            <w:rPr>
                              <w:rFonts w:ascii="Conduit ITC Light" w:eastAsia="Adobe Song Std L" w:hAnsi="Conduit ITC Light" w:cstheme="minorHAnsi"/>
                              <w:color w:val="FFFFFF" w:themeColor="background1"/>
                              <w:sz w:val="54"/>
                              <w:szCs w:val="32"/>
                            </w:rPr>
                            <w:t xml:space="preserve"> </w:t>
                          </w:r>
                          <w:r w:rsidR="00240213">
                            <w:rPr>
                              <w:rFonts w:ascii="Conduit ITC Light" w:eastAsia="Adobe Song Std L" w:hAnsi="Conduit ITC Light" w:cstheme="minorHAnsi"/>
                              <w:color w:val="FFFFFF" w:themeColor="background1"/>
                              <w:sz w:val="54"/>
                              <w:szCs w:val="32"/>
                            </w:rPr>
                            <w:t>jeu de la vie</w:t>
                          </w:r>
                        </w:sdtContent>
                      </w:sdt>
                      <w:r w:rsidR="00A0432F">
                        <w:rPr>
                          <w:rFonts w:ascii="Conduit ITC Light" w:eastAsia="Adobe Song Std L" w:hAnsi="Conduit ITC Light" w:cstheme="minorHAnsi"/>
                          <w:color w:val="FFFFFF" w:themeColor="background1"/>
                          <w:sz w:val="54"/>
                          <w:szCs w:val="32"/>
                        </w:rPr>
                        <w:t xml:space="preserve"> 2</w:t>
                      </w:r>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Pr="002C1BF4" w:rsidRDefault="00E268CF" w:rsidP="00DA05F8">
      <w:pPr>
        <w:pStyle w:val="Heading1"/>
      </w:pPr>
      <w:r>
        <w:lastRenderedPageBreak/>
        <w:t>Enoncé</w:t>
      </w:r>
    </w:p>
    <w:p w:rsidR="00A23020" w:rsidRDefault="0020578B" w:rsidP="00A23020">
      <w:r>
        <w:t xml:space="preserve">L'objectif de cet exercice est </w:t>
      </w:r>
      <w:r w:rsidR="00283963">
        <w:t xml:space="preserve">d'implémenter </w:t>
      </w:r>
      <w:r w:rsidR="00240213">
        <w:t>un jeu de la vie</w:t>
      </w:r>
      <w:r w:rsidR="00240213">
        <w:rPr>
          <w:rStyle w:val="FootnoteReference"/>
        </w:rPr>
        <w:footnoteReference w:id="1"/>
      </w:r>
      <w:r w:rsidR="00A0432F">
        <w:t xml:space="preserve"> se déroulant dans un univers sans limite.</w:t>
      </w:r>
      <w:r w:rsidR="00B6651D">
        <w:t xml:space="preserve"> Contrairement à la première version du jeu de la vie implémentée dans un précédent exercice, ici le plateau n’est pas torique et surtout il n’a pas de dimensions prédéfinies. On peut donner la vie ou faire mourir une cellule où bon nous semble</w:t>
      </w:r>
      <w:r w:rsidR="00B304DF">
        <w:t xml:space="preserve"> (il faut simplement que les coordonnées soit représentables par le type </w:t>
      </w:r>
      <w:r w:rsidR="00B304DF">
        <w:rPr>
          <w:rFonts w:ascii="Consolas" w:hAnsi="Consolas" w:cs="Consolas"/>
          <w:color w:val="0000FF"/>
          <w:sz w:val="19"/>
          <w:szCs w:val="19"/>
          <w:highlight w:val="white"/>
        </w:rPr>
        <w:t>int</w:t>
      </w:r>
      <w:r w:rsidR="00B304DF">
        <w:t>, l’abscisse et l’ordonnée d’une cellule sont donc comprises entre -2² et 2²-1)</w:t>
      </w:r>
      <w:r w:rsidR="00B6651D">
        <w:t>.</w:t>
      </w:r>
      <w:r w:rsidR="00B304DF">
        <w:t xml:space="preserve"> Le jeu doit pouvoir « s’étendre » ou se « rétracter » à chaque étape si nécessaire.</w:t>
      </w:r>
    </w:p>
    <w:p w:rsidR="00283963" w:rsidRDefault="00283963" w:rsidP="00A23020">
      <w:r>
        <w:t xml:space="preserve">Vous disposez pour cela d'une solution comprenant </w:t>
      </w:r>
      <w:r w:rsidR="004D0970">
        <w:t>2</w:t>
      </w:r>
      <w:r>
        <w:t xml:space="preserve"> projets :</w:t>
      </w:r>
    </w:p>
    <w:p w:rsidR="00283963" w:rsidRDefault="00283963" w:rsidP="00283963">
      <w:pPr>
        <w:pStyle w:val="ListParagraph"/>
        <w:numPr>
          <w:ilvl w:val="0"/>
          <w:numId w:val="3"/>
        </w:numPr>
      </w:pPr>
      <w:r>
        <w:t>ITI.</w:t>
      </w:r>
      <w:r w:rsidR="00240213">
        <w:t>GameOfLife</w:t>
      </w:r>
      <w:r>
        <w:t xml:space="preserve">.Tests, </w:t>
      </w:r>
      <w:r w:rsidR="009A29B2">
        <w:t xml:space="preserve">contient les </w:t>
      </w:r>
      <w:r>
        <w:t>tests unitaires</w:t>
      </w:r>
    </w:p>
    <w:p w:rsidR="00283963" w:rsidRDefault="00283963" w:rsidP="00283963">
      <w:pPr>
        <w:pStyle w:val="ListParagraph"/>
        <w:numPr>
          <w:ilvl w:val="0"/>
          <w:numId w:val="3"/>
        </w:numPr>
      </w:pPr>
      <w:r>
        <w:t>ITI.</w:t>
      </w:r>
      <w:r w:rsidR="00240213">
        <w:t>GameOfLife</w:t>
      </w:r>
      <w:r w:rsidR="004D0970">
        <w:t xml:space="preserve">, contient une implémentation par défaut </w:t>
      </w:r>
      <w:r w:rsidR="00240213">
        <w:t>du jeu de la vie</w:t>
      </w:r>
    </w:p>
    <w:p w:rsidR="00754BA6" w:rsidRDefault="001C25EB" w:rsidP="00754BA6">
      <w:r>
        <w:t xml:space="preserve">Pour faire tourner les tests unitaires il vous suffit de configurer le projet </w:t>
      </w:r>
      <w:r w:rsidR="004D0970">
        <w:t>ITI.</w:t>
      </w:r>
      <w:r w:rsidR="00240213">
        <w:t>GameOfLife</w:t>
      </w:r>
      <w:r w:rsidR="004D0970">
        <w:t>.Tests</w:t>
      </w:r>
      <w:r>
        <w:t xml:space="preserve"> en tant que projet de démarrage puis d'exécuter la solution.</w:t>
      </w:r>
    </w:p>
    <w:p w:rsidR="009A29B2" w:rsidRDefault="009A29B2" w:rsidP="009A29B2">
      <w:r>
        <w:t>Comme vous pouvez le constater, pour le moment, tous les tests sont rouges, à l’e</w:t>
      </w:r>
      <w:r w:rsidR="004D0970">
        <w:t>xception d’un seul</w:t>
      </w:r>
      <w:r>
        <w:t xml:space="preserve"> d’entre eux :</w:t>
      </w:r>
    </w:p>
    <w:p w:rsidR="009A29B2" w:rsidRDefault="00B6651D" w:rsidP="009A29B2">
      <w:r>
        <w:rPr>
          <w:noProof/>
          <w:lang w:eastAsia="fr-FR"/>
        </w:rPr>
        <w:drawing>
          <wp:inline distT="0" distB="0" distL="0" distR="0" wp14:anchorId="28A41A44" wp14:editId="28826E1F">
            <wp:extent cx="49625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2028825"/>
                    </a:xfrm>
                    <a:prstGeom prst="rect">
                      <a:avLst/>
                    </a:prstGeom>
                  </pic:spPr>
                </pic:pic>
              </a:graphicData>
            </a:graphic>
          </wp:inline>
        </w:drawing>
      </w:r>
    </w:p>
    <w:p w:rsidR="009A29B2" w:rsidRDefault="004D0970" w:rsidP="009A29B2">
      <w:r>
        <w:t>Ce test analyse</w:t>
      </w:r>
      <w:r w:rsidR="009A29B2">
        <w:t xml:space="preserve"> les objets implémentés dans ITI.</w:t>
      </w:r>
      <w:r w:rsidR="00240213">
        <w:t>GameOfLife</w:t>
      </w:r>
      <w:r w:rsidR="00D531AD">
        <w:t>.</w:t>
      </w:r>
      <w:r w:rsidR="00D93C36">
        <w:t>dll et en extrait l’API publique</w:t>
      </w:r>
      <w:r w:rsidR="009A29B2">
        <w:t xml:space="preserve"> sous forme XML</w:t>
      </w:r>
      <w:r w:rsidR="00D531AD">
        <w:t xml:space="preserve"> et </w:t>
      </w:r>
      <w:r w:rsidR="009A29B2">
        <w:t xml:space="preserve">compare </w:t>
      </w:r>
      <w:r w:rsidR="00D531AD">
        <w:t xml:space="preserve">cette </w:t>
      </w:r>
      <w:r w:rsidR="00D93C36">
        <w:t>API publique</w:t>
      </w:r>
      <w:r w:rsidR="009A29B2">
        <w:t xml:space="preserve"> avec celle d’origine qui est mémorisée : si d’ave</w:t>
      </w:r>
      <w:r w:rsidR="00D93C36">
        <w:t>nture, vous altérez l’API publique</w:t>
      </w:r>
      <w:r w:rsidR="009A29B2">
        <w:t xml:space="preserve"> des objets (en ajoutant une méthode, une propriété ou un champ public), il passe au rouge : vous devez vous assurer qu’il reste au vert</w:t>
      </w:r>
      <w:r>
        <w:t>.</w:t>
      </w:r>
    </w:p>
    <w:p w:rsidR="00517CE4" w:rsidRDefault="009A29B2" w:rsidP="009A29B2">
      <w:r>
        <w:t>Pour les autres tests, à vous de faire en sorte qu'ils passent en vert. Pour cela, vous avez le droit de faire ce que bon vous semble dans le projet ITI.</w:t>
      </w:r>
      <w:r w:rsidR="00240213">
        <w:t>GameOfLife</w:t>
      </w:r>
      <w:r w:rsidR="004D0970">
        <w:t>.</w:t>
      </w:r>
    </w:p>
    <w:p w:rsidR="001332FE" w:rsidRPr="001332FE" w:rsidRDefault="003B44AF" w:rsidP="001332FE">
      <w:r>
        <w:t>Les tests u</w:t>
      </w:r>
      <w:r w:rsidR="00152B6B">
        <w:t>nitaires sont là pour spécifier</w:t>
      </w:r>
      <w:r>
        <w:t xml:space="preserve"> de façon détaillée les fonctionnalités attendues. </w:t>
      </w:r>
      <w:r w:rsidR="00023077">
        <w:t>Nous ne reviendrons pas sur le fonctionnement de ce jeu que vous connaissez déjà. Mais on pourra se référer à l’énoncé de la première version du jeu de la vie en cas de besoin.</w:t>
      </w:r>
    </w:p>
    <w:sectPr w:rsidR="001332FE" w:rsidRPr="001332FE" w:rsidSect="001E061D">
      <w:headerReference w:type="default" r:id="rId10"/>
      <w:footerReference w:type="default" r:id="rId11"/>
      <w:footerReference w:type="first" r:id="rId12"/>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64" w:rsidRDefault="00C20B64" w:rsidP="00490BDC">
      <w:pPr>
        <w:spacing w:after="0" w:line="240" w:lineRule="auto"/>
      </w:pPr>
      <w:r>
        <w:separator/>
      </w:r>
    </w:p>
  </w:endnote>
  <w:endnote w:type="continuationSeparator" w:id="0">
    <w:p w:rsidR="00C20B64" w:rsidRDefault="00C20B64"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Footer"/>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BE5344">
                            <w:rPr>
                              <w:rFonts w:ascii="Conduit ITC Light" w:hAnsi="Conduit ITC Light"/>
                              <w:noProof/>
                              <w:sz w:val="16"/>
                              <w:szCs w:val="16"/>
                            </w:rPr>
                            <w:t>04/03/2016</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BE5344">
                      <w:rPr>
                        <w:rFonts w:ascii="Conduit ITC Light" w:hAnsi="Conduit ITC Light"/>
                        <w:noProof/>
                        <w:sz w:val="16"/>
                        <w:szCs w:val="16"/>
                      </w:rPr>
                      <w:t>04/03/2016</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BE5344">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BE5344" w:rsidRPr="00BE5344">
                              <w:rPr>
                                <w:rFonts w:ascii="Conduit ITC Light" w:hAnsi="Conduit ITC Light"/>
                                <w:b/>
                                <w:noProof/>
                                <w:sz w:val="24"/>
                              </w:rPr>
                              <w:t>2</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BE5344">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BE5344" w:rsidRPr="00BE5344">
                        <w:rPr>
                          <w:rFonts w:ascii="Conduit ITC Light" w:hAnsi="Conduit ITC Light"/>
                          <w:b/>
                          <w:noProof/>
                          <w:sz w:val="24"/>
                        </w:rPr>
                        <w:t>2</w:t>
                      </w:r>
                    </w:fldSimple>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Footer"/>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64" w:rsidRDefault="00C20B64" w:rsidP="00490BDC">
      <w:pPr>
        <w:spacing w:after="0" w:line="240" w:lineRule="auto"/>
      </w:pPr>
      <w:r>
        <w:separator/>
      </w:r>
    </w:p>
  </w:footnote>
  <w:footnote w:type="continuationSeparator" w:id="0">
    <w:p w:rsidR="00C20B64" w:rsidRDefault="00C20B64" w:rsidP="00490BDC">
      <w:pPr>
        <w:spacing w:after="0" w:line="240" w:lineRule="auto"/>
      </w:pPr>
      <w:r>
        <w:continuationSeparator/>
      </w:r>
    </w:p>
  </w:footnote>
  <w:footnote w:id="1">
    <w:p w:rsidR="00240213" w:rsidRDefault="00240213">
      <w:pPr>
        <w:pStyle w:val="FootnoteText"/>
      </w:pPr>
      <w:r>
        <w:rPr>
          <w:rStyle w:val="FootnoteReference"/>
        </w:rPr>
        <w:footnoteRef/>
      </w:r>
      <w:r>
        <w:t xml:space="preserve"> </w:t>
      </w:r>
      <w:hyperlink r:id="rId1" w:history="1">
        <w:r w:rsidRPr="00240213">
          <w:rPr>
            <w:rStyle w:val="Hyperlink"/>
          </w:rPr>
          <w:t>https://en.wikipedia.org/wiki/Conway%27s_Game_of_Life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6F3C3E" w:rsidRDefault="001E061D" w:rsidP="00EB34E8">
    <w:pPr>
      <w:pStyle w:val="Header"/>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5431C0">
          <w:rPr>
            <w:rFonts w:ascii="Conduit ITC Light" w:hAnsi="Conduit ITC Light"/>
            <w:color w:val="464B4C"/>
          </w:rPr>
          <w:t>Exercice : Le jeu de la vie</w:t>
        </w:r>
      </w:sdtContent>
    </w:sdt>
  </w:p>
  <w:p w:rsidR="00EB34E8" w:rsidRPr="006F3C3E" w:rsidRDefault="00EB34E8" w:rsidP="00EB34E8">
    <w:pPr>
      <w:pStyle w:val="Header"/>
      <w:rPr>
        <w:rFonts w:ascii="Conduit ITC Light" w:hAnsi="Conduit ITC Light"/>
        <w:color w:val="464B4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CF7B58"/>
    <w:multiLevelType w:val="multilevel"/>
    <w:tmpl w:val="563EE4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5"/>
  </w:num>
  <w:num w:numId="11">
    <w:abstractNumId w:val="7"/>
  </w:num>
  <w:num w:numId="12">
    <w:abstractNumId w:val="3"/>
  </w:num>
  <w:num w:numId="13">
    <w:abstractNumId w:val="12"/>
  </w:num>
  <w:num w:numId="14">
    <w:abstractNumId w:val="16"/>
  </w:num>
  <w:num w:numId="15">
    <w:abstractNumId w:val="4"/>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76B3E"/>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66B67"/>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CE"/>
    <w:rsid w:val="002B76BE"/>
    <w:rsid w:val="002C1BF4"/>
    <w:rsid w:val="002D1C8E"/>
    <w:rsid w:val="002F08CE"/>
    <w:rsid w:val="002F5978"/>
    <w:rsid w:val="002F5CDD"/>
    <w:rsid w:val="002F774B"/>
    <w:rsid w:val="0031245C"/>
    <w:rsid w:val="00317AAA"/>
    <w:rsid w:val="00323534"/>
    <w:rsid w:val="00366733"/>
    <w:rsid w:val="00376604"/>
    <w:rsid w:val="00382B4E"/>
    <w:rsid w:val="003A3651"/>
    <w:rsid w:val="003B44AF"/>
    <w:rsid w:val="003C3A7B"/>
    <w:rsid w:val="003C5236"/>
    <w:rsid w:val="003C5D96"/>
    <w:rsid w:val="003E1FE0"/>
    <w:rsid w:val="003E280E"/>
    <w:rsid w:val="004075B6"/>
    <w:rsid w:val="00412754"/>
    <w:rsid w:val="00412ACA"/>
    <w:rsid w:val="00420CAA"/>
    <w:rsid w:val="004276E9"/>
    <w:rsid w:val="004348E7"/>
    <w:rsid w:val="0045645A"/>
    <w:rsid w:val="00490BDC"/>
    <w:rsid w:val="004947F3"/>
    <w:rsid w:val="00495046"/>
    <w:rsid w:val="00495E7D"/>
    <w:rsid w:val="004A4F9D"/>
    <w:rsid w:val="004B4644"/>
    <w:rsid w:val="004B7306"/>
    <w:rsid w:val="004C5772"/>
    <w:rsid w:val="004D0970"/>
    <w:rsid w:val="004D43D0"/>
    <w:rsid w:val="004D790A"/>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B622D"/>
    <w:rsid w:val="006C4910"/>
    <w:rsid w:val="006C4A46"/>
    <w:rsid w:val="006F3C3E"/>
    <w:rsid w:val="00713F5D"/>
    <w:rsid w:val="00722BC0"/>
    <w:rsid w:val="00735A83"/>
    <w:rsid w:val="00754BA6"/>
    <w:rsid w:val="007610DC"/>
    <w:rsid w:val="00783D8D"/>
    <w:rsid w:val="0078501E"/>
    <w:rsid w:val="00794C6C"/>
    <w:rsid w:val="007D0E6C"/>
    <w:rsid w:val="007D58A5"/>
    <w:rsid w:val="007E0EA9"/>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29B2"/>
    <w:rsid w:val="009A3DF5"/>
    <w:rsid w:val="009B44AB"/>
    <w:rsid w:val="009B5790"/>
    <w:rsid w:val="009E3074"/>
    <w:rsid w:val="009F12EC"/>
    <w:rsid w:val="00A0432F"/>
    <w:rsid w:val="00A23020"/>
    <w:rsid w:val="00A30B20"/>
    <w:rsid w:val="00A86F71"/>
    <w:rsid w:val="00A900B0"/>
    <w:rsid w:val="00A916C5"/>
    <w:rsid w:val="00AA56D8"/>
    <w:rsid w:val="00AB0E90"/>
    <w:rsid w:val="00AC454A"/>
    <w:rsid w:val="00AD1038"/>
    <w:rsid w:val="00AD3C69"/>
    <w:rsid w:val="00AE3498"/>
    <w:rsid w:val="00AE579A"/>
    <w:rsid w:val="00AF540A"/>
    <w:rsid w:val="00B0728B"/>
    <w:rsid w:val="00B125CA"/>
    <w:rsid w:val="00B304DF"/>
    <w:rsid w:val="00B37A4F"/>
    <w:rsid w:val="00B37D53"/>
    <w:rsid w:val="00B520D2"/>
    <w:rsid w:val="00B60404"/>
    <w:rsid w:val="00B6651D"/>
    <w:rsid w:val="00B837BF"/>
    <w:rsid w:val="00B86B46"/>
    <w:rsid w:val="00BA0686"/>
    <w:rsid w:val="00BA1EE1"/>
    <w:rsid w:val="00BB5630"/>
    <w:rsid w:val="00BC5259"/>
    <w:rsid w:val="00BD10ED"/>
    <w:rsid w:val="00BD5D9B"/>
    <w:rsid w:val="00BD675D"/>
    <w:rsid w:val="00BE5344"/>
    <w:rsid w:val="00BE6D2C"/>
    <w:rsid w:val="00BF426E"/>
    <w:rsid w:val="00C102C1"/>
    <w:rsid w:val="00C132DF"/>
    <w:rsid w:val="00C20B64"/>
    <w:rsid w:val="00C2720A"/>
    <w:rsid w:val="00C41252"/>
    <w:rsid w:val="00C61697"/>
    <w:rsid w:val="00C64F5C"/>
    <w:rsid w:val="00C905EF"/>
    <w:rsid w:val="00CC298A"/>
    <w:rsid w:val="00CC36C6"/>
    <w:rsid w:val="00CC7752"/>
    <w:rsid w:val="00CD09EC"/>
    <w:rsid w:val="00CD5D80"/>
    <w:rsid w:val="00CD781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C1D7E"/>
    <w:rsid w:val="00DC5476"/>
    <w:rsid w:val="00DD3E61"/>
    <w:rsid w:val="00DE029E"/>
    <w:rsid w:val="00DE1E53"/>
    <w:rsid w:val="00DE501E"/>
    <w:rsid w:val="00DE59B1"/>
    <w:rsid w:val="00DE78F0"/>
    <w:rsid w:val="00E015D8"/>
    <w:rsid w:val="00E20B3E"/>
    <w:rsid w:val="00E268CF"/>
    <w:rsid w:val="00E3740D"/>
    <w:rsid w:val="00E4713F"/>
    <w:rsid w:val="00E47D56"/>
    <w:rsid w:val="00E6507D"/>
    <w:rsid w:val="00E66898"/>
    <w:rsid w:val="00E85664"/>
    <w:rsid w:val="00EA617F"/>
    <w:rsid w:val="00EB34E8"/>
    <w:rsid w:val="00EC167E"/>
    <w:rsid w:val="00EC315B"/>
    <w:rsid w:val="00ED147E"/>
    <w:rsid w:val="00EE5233"/>
    <w:rsid w:val="00EF47B3"/>
    <w:rsid w:val="00F1449A"/>
    <w:rsid w:val="00F416FD"/>
    <w:rsid w:val="00F42F9E"/>
    <w:rsid w:val="00F5376C"/>
    <w:rsid w:val="00F56CEB"/>
    <w:rsid w:val="00F837EE"/>
    <w:rsid w:val="00F96231"/>
    <w:rsid w:val="00FC23BA"/>
    <w:rsid w:val="00FD20D2"/>
    <w:rsid w:val="00FD61A6"/>
    <w:rsid w:val="00FD6EAA"/>
    <w:rsid w:val="00FD7FD3"/>
    <w:rsid w:val="00FF0A26"/>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Heading1">
    <w:name w:val="heading 1"/>
    <w:basedOn w:val="Normal"/>
    <w:next w:val="Normal"/>
    <w:link w:val="Heading1Ch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Heading2">
    <w:name w:val="heading 2"/>
    <w:basedOn w:val="Normal"/>
    <w:next w:val="Normal"/>
    <w:link w:val="Heading2Ch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Heading3">
    <w:name w:val="heading 3"/>
    <w:basedOn w:val="Normal"/>
    <w:next w:val="Normal"/>
    <w:link w:val="Heading3Ch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Heading4">
    <w:name w:val="heading 4"/>
    <w:basedOn w:val="Normal"/>
    <w:next w:val="Normal"/>
    <w:link w:val="Heading4Ch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Heading5">
    <w:name w:val="heading 5"/>
    <w:basedOn w:val="Normal"/>
    <w:next w:val="Normal"/>
    <w:link w:val="Heading5Ch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Heading6">
    <w:name w:val="heading 6"/>
    <w:basedOn w:val="Normal"/>
    <w:next w:val="Normal"/>
    <w:link w:val="Heading6Ch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Heading7">
    <w:name w:val="heading 7"/>
    <w:basedOn w:val="Normal"/>
    <w:next w:val="Normal"/>
    <w:link w:val="Heading7Ch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D7E"/>
  </w:style>
  <w:style w:type="paragraph" w:styleId="Footer">
    <w:name w:val="footer"/>
    <w:basedOn w:val="Normal"/>
    <w:link w:val="FooterChar"/>
    <w:uiPriority w:val="99"/>
    <w:unhideWhenUsed/>
    <w:rsid w:val="00DC1D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D7E"/>
  </w:style>
  <w:style w:type="paragraph" w:styleId="BalloonText">
    <w:name w:val="Balloon Text"/>
    <w:basedOn w:val="Normal"/>
    <w:link w:val="BalloonTextChar"/>
    <w:uiPriority w:val="99"/>
    <w:semiHidden/>
    <w:unhideWhenUsed/>
    <w:rsid w:val="002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54C"/>
    <w:rPr>
      <w:rFonts w:ascii="Tahoma" w:hAnsi="Tahoma" w:cs="Tahoma"/>
      <w:sz w:val="16"/>
      <w:szCs w:val="16"/>
    </w:rPr>
  </w:style>
  <w:style w:type="table" w:styleId="TableGrid">
    <w:name w:val="Table Grid"/>
    <w:basedOn w:val="Table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20D2"/>
    <w:rPr>
      <w:color w:val="808080"/>
    </w:rPr>
  </w:style>
  <w:style w:type="character" w:customStyle="1" w:styleId="Heading1Char">
    <w:name w:val="Heading 1 Char"/>
    <w:basedOn w:val="DefaultParagraphFont"/>
    <w:link w:val="Heading1"/>
    <w:uiPriority w:val="9"/>
    <w:rsid w:val="00500F15"/>
    <w:rPr>
      <w:rFonts w:asciiTheme="majorHAnsi" w:eastAsiaTheme="majorEastAsia" w:hAnsiTheme="majorHAnsi" w:cstheme="majorBidi"/>
      <w:bCs/>
      <w:color w:val="3A1144"/>
      <w:sz w:val="28"/>
      <w:szCs w:val="28"/>
    </w:rPr>
  </w:style>
  <w:style w:type="paragraph" w:styleId="NoSpacing">
    <w:name w:val="No Spacing"/>
    <w:uiPriority w:val="1"/>
    <w:qFormat/>
    <w:rsid w:val="00DC1D7E"/>
    <w:pPr>
      <w:spacing w:after="0" w:line="240" w:lineRule="auto"/>
    </w:pPr>
  </w:style>
  <w:style w:type="character" w:customStyle="1" w:styleId="Heading2Char">
    <w:name w:val="Heading 2 Char"/>
    <w:basedOn w:val="DefaultParagraphFont"/>
    <w:link w:val="Heading2"/>
    <w:uiPriority w:val="9"/>
    <w:rsid w:val="00500F15"/>
    <w:rPr>
      <w:rFonts w:asciiTheme="majorHAnsi" w:eastAsiaTheme="majorEastAsia" w:hAnsiTheme="majorHAnsi" w:cstheme="majorBidi"/>
      <w:bCs/>
      <w:color w:val="3A1144"/>
      <w:sz w:val="26"/>
      <w:szCs w:val="26"/>
    </w:rPr>
  </w:style>
  <w:style w:type="character" w:customStyle="1" w:styleId="Heading3Char">
    <w:name w:val="Heading 3 Char"/>
    <w:basedOn w:val="DefaultParagraphFont"/>
    <w:link w:val="Heading3"/>
    <w:uiPriority w:val="9"/>
    <w:rsid w:val="00500F15"/>
    <w:rPr>
      <w:rFonts w:asciiTheme="majorHAnsi" w:eastAsiaTheme="majorEastAsia" w:hAnsiTheme="majorHAnsi" w:cstheme="majorBidi"/>
      <w:bCs/>
      <w:color w:val="3A1144"/>
    </w:rPr>
  </w:style>
  <w:style w:type="character" w:customStyle="1" w:styleId="Heading4Char">
    <w:name w:val="Heading 4 Char"/>
    <w:basedOn w:val="DefaultParagraphFont"/>
    <w:link w:val="Heading4"/>
    <w:uiPriority w:val="9"/>
    <w:semiHidden/>
    <w:rsid w:val="00500F15"/>
    <w:rPr>
      <w:rFonts w:asciiTheme="majorHAnsi" w:eastAsiaTheme="majorEastAsia" w:hAnsiTheme="majorHAnsi" w:cstheme="majorBidi"/>
      <w:bCs/>
      <w:i/>
      <w:iCs/>
      <w:color w:val="3A1144"/>
    </w:rPr>
  </w:style>
  <w:style w:type="paragraph" w:styleId="Title">
    <w:name w:val="Title"/>
    <w:basedOn w:val="Normal"/>
    <w:next w:val="Normal"/>
    <w:link w:val="TitleCh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leChar">
    <w:name w:val="Title Char"/>
    <w:basedOn w:val="DefaultParagraphFont"/>
    <w:link w:val="Title"/>
    <w:uiPriority w:val="10"/>
    <w:rsid w:val="00500F15"/>
    <w:rPr>
      <w:rFonts w:asciiTheme="majorHAnsi" w:eastAsiaTheme="majorEastAsia" w:hAnsiTheme="majorHAnsi" w:cstheme="majorBidi"/>
      <w:color w:val="3A1144"/>
      <w:spacing w:val="5"/>
      <w:kern w:val="28"/>
      <w:sz w:val="52"/>
      <w:szCs w:val="52"/>
    </w:rPr>
  </w:style>
  <w:style w:type="paragraph" w:styleId="Subtitle">
    <w:name w:val="Subtitle"/>
    <w:basedOn w:val="Normal"/>
    <w:next w:val="Normal"/>
    <w:link w:val="SubtitleCh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ubtitleChar">
    <w:name w:val="Subtitle Char"/>
    <w:basedOn w:val="DefaultParagraphFont"/>
    <w:link w:val="Subtitle"/>
    <w:uiPriority w:val="11"/>
    <w:rsid w:val="00D25B1E"/>
    <w:rPr>
      <w:rFonts w:asciiTheme="majorHAnsi" w:eastAsiaTheme="majorEastAsia" w:hAnsiTheme="majorHAnsi" w:cstheme="majorBidi"/>
      <w:i/>
      <w:iCs/>
      <w:color w:val="3A1144"/>
      <w:spacing w:val="15"/>
      <w:sz w:val="24"/>
      <w:szCs w:val="24"/>
    </w:rPr>
  </w:style>
  <w:style w:type="character" w:customStyle="1" w:styleId="Heading5Char">
    <w:name w:val="Heading 5 Char"/>
    <w:basedOn w:val="DefaultParagraphFont"/>
    <w:link w:val="Heading5"/>
    <w:uiPriority w:val="9"/>
    <w:semiHidden/>
    <w:rsid w:val="00DA05F8"/>
    <w:rPr>
      <w:rFonts w:asciiTheme="majorHAnsi" w:eastAsiaTheme="majorEastAsia" w:hAnsiTheme="majorHAnsi" w:cstheme="majorBidi"/>
      <w:color w:val="2D5F1E" w:themeColor="accent1" w:themeShade="7F"/>
    </w:rPr>
  </w:style>
  <w:style w:type="character" w:customStyle="1" w:styleId="Heading6Char">
    <w:name w:val="Heading 6 Char"/>
    <w:basedOn w:val="DefaultParagraphFont"/>
    <w:link w:val="Heading6"/>
    <w:uiPriority w:val="9"/>
    <w:semiHidden/>
    <w:rsid w:val="00DA05F8"/>
    <w:rPr>
      <w:rFonts w:asciiTheme="majorHAnsi" w:eastAsiaTheme="majorEastAsia" w:hAnsiTheme="majorHAnsi" w:cstheme="majorBidi"/>
      <w:i/>
      <w:iCs/>
      <w:color w:val="2D5F1E" w:themeColor="accent1" w:themeShade="7F"/>
    </w:rPr>
  </w:style>
  <w:style w:type="character" w:customStyle="1" w:styleId="Heading7Char">
    <w:name w:val="Heading 7 Char"/>
    <w:basedOn w:val="DefaultParagraphFont"/>
    <w:link w:val="Heading7"/>
    <w:uiPriority w:val="9"/>
    <w:semiHidden/>
    <w:rsid w:val="00DA05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05F8"/>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D25B1E"/>
    <w:rPr>
      <w:i/>
      <w:iCs/>
      <w:color w:val="5CBF3C"/>
    </w:rPr>
  </w:style>
  <w:style w:type="paragraph" w:styleId="IntenseQuote">
    <w:name w:val="Intense Quote"/>
    <w:basedOn w:val="Normal"/>
    <w:next w:val="Normal"/>
    <w:link w:val="IntenseQuoteCh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IntenseQuoteChar">
    <w:name w:val="Intense Quote Char"/>
    <w:basedOn w:val="DefaultParagraphFont"/>
    <w:link w:val="IntenseQuote"/>
    <w:uiPriority w:val="30"/>
    <w:rsid w:val="00D25B1E"/>
    <w:rPr>
      <w:i/>
      <w:iCs/>
      <w:color w:val="5CBF3C"/>
    </w:rPr>
  </w:style>
  <w:style w:type="paragraph" w:styleId="ListParagraph">
    <w:name w:val="List Paragraph"/>
    <w:basedOn w:val="Normal"/>
    <w:uiPriority w:val="34"/>
    <w:qFormat/>
    <w:rsid w:val="002F5978"/>
    <w:pPr>
      <w:ind w:left="720"/>
      <w:contextualSpacing/>
    </w:pPr>
  </w:style>
  <w:style w:type="character" w:styleId="Hyperlink">
    <w:name w:val="Hyperlink"/>
    <w:basedOn w:val="DefaultParagraphFont"/>
    <w:uiPriority w:val="99"/>
    <w:unhideWhenUsed/>
    <w:rsid w:val="00BC5259"/>
    <w:rPr>
      <w:color w:val="4F6128" w:themeColor="hyperlink"/>
      <w:u w:val="single"/>
    </w:rPr>
  </w:style>
  <w:style w:type="paragraph" w:styleId="FootnoteText">
    <w:name w:val="footnote text"/>
    <w:basedOn w:val="Normal"/>
    <w:link w:val="FootnoteTextChar"/>
    <w:uiPriority w:val="99"/>
    <w:semiHidden/>
    <w:unhideWhenUsed/>
    <w:rsid w:val="00240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213"/>
    <w:rPr>
      <w:sz w:val="20"/>
      <w:szCs w:val="20"/>
    </w:rPr>
  </w:style>
  <w:style w:type="character" w:styleId="FootnoteReference">
    <w:name w:val="footnote reference"/>
    <w:basedOn w:val="DefaultParagraphFont"/>
    <w:uiPriority w:val="99"/>
    <w:semiHidden/>
    <w:unhideWhenUsed/>
    <w:rsid w:val="00240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nway%27s_Game_of_Lif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PlaceholderText"/>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PlaceholderText"/>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231013"/>
    <w:rsid w:val="00371A02"/>
    <w:rsid w:val="003C60F0"/>
    <w:rsid w:val="00481F1A"/>
    <w:rsid w:val="00553286"/>
    <w:rsid w:val="00565509"/>
    <w:rsid w:val="006C239E"/>
    <w:rsid w:val="006E2545"/>
    <w:rsid w:val="007540DD"/>
    <w:rsid w:val="007F6CCB"/>
    <w:rsid w:val="00807060"/>
    <w:rsid w:val="008E3607"/>
    <w:rsid w:val="008F265E"/>
    <w:rsid w:val="009120F2"/>
    <w:rsid w:val="009B1805"/>
    <w:rsid w:val="009C05EA"/>
    <w:rsid w:val="009C2690"/>
    <w:rsid w:val="00AD6F47"/>
    <w:rsid w:val="00BB7F2C"/>
    <w:rsid w:val="00C7521F"/>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1458E-711A-4C02-8004-3BEC96B3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1538</TotalTime>
  <Pages>1</Pages>
  <Words>288</Words>
  <Characters>1585</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Le jeu de la vie</vt:lpstr>
      <vt:lpstr>Exercice : les comptes bancaires</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Le jeu de la vie</dc:title>
  <dc:creator>Olivier Spinelli</dc:creator>
  <cp:lastModifiedBy>Antoine</cp:lastModifiedBy>
  <cp:revision>110</cp:revision>
  <cp:lastPrinted>2016-03-04T09:05:00Z</cp:lastPrinted>
  <dcterms:created xsi:type="dcterms:W3CDTF">2016-01-15T10:15:00Z</dcterms:created>
  <dcterms:modified xsi:type="dcterms:W3CDTF">2016-03-04T09:05:00Z</dcterms:modified>
  <cp:category>Nom du projet</cp:category>
</cp:coreProperties>
</file>