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A54A5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A54A5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 xml:space="preserve">Ce TP a pour but de vous introduire la notion </w:t>
      </w:r>
      <w:r w:rsidRPr="00F40545">
        <w:rPr>
          <w:rFonts w:cs="Arial"/>
          <w:color w:val="000000"/>
        </w:rPr>
        <w:t>d’AST (</w:t>
      </w:r>
      <w:r w:rsidRPr="00F40545">
        <w:rPr>
          <w:rFonts w:cs="Arial"/>
          <w:b/>
          <w:bCs/>
          <w:color w:val="000000"/>
        </w:rPr>
        <w:t>A</w:t>
      </w:r>
      <w:r w:rsidRPr="00F40545">
        <w:rPr>
          <w:rFonts w:cs="Arial"/>
          <w:color w:val="000000"/>
        </w:rPr>
        <w:t xml:space="preserve">bstract </w:t>
      </w:r>
      <w:r w:rsidRPr="00F40545">
        <w:rPr>
          <w:rFonts w:cs="Arial"/>
          <w:b/>
          <w:bCs/>
          <w:color w:val="000000"/>
        </w:rPr>
        <w:t>S</w:t>
      </w:r>
      <w:r w:rsidRPr="00F40545">
        <w:rPr>
          <w:rFonts w:cs="Arial"/>
          <w:color w:val="000000"/>
        </w:rPr>
        <w:t xml:space="preserve">yntax </w:t>
      </w:r>
      <w:r w:rsidRPr="00F40545">
        <w:rPr>
          <w:rFonts w:cs="Arial"/>
          <w:b/>
          <w:bCs/>
          <w:color w:val="000000"/>
        </w:rPr>
        <w:t>T</w:t>
      </w:r>
      <w:r w:rsidRPr="00F40545">
        <w:rPr>
          <w:rFonts w:cs="Arial"/>
          <w:color w:val="000000"/>
        </w:rPr>
        <w:t xml:space="preserve">ree) à travers la manipulation de </w:t>
      </w:r>
      <w:r w:rsidRPr="00F40545">
        <w:rPr>
          <w:rFonts w:cs="Arial"/>
          <w:b/>
          <w:color w:val="000000"/>
        </w:rPr>
        <w:t>Linq.Expressions</w:t>
      </w:r>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4D3038" w:rsidP="00DE659B">
      <w:pPr>
        <w:pStyle w:val="Titre1"/>
      </w:pPr>
      <w:r>
        <w:t>Énoncé</w:t>
      </w:r>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 xml:space="preserve">yntax </w:t>
      </w:r>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Pr="004D3038" w:rsidRDefault="004D3038" w:rsidP="004D3038">
      <w:pPr>
        <w:pStyle w:val="NormalWeb"/>
        <w:spacing w:before="0" w:beforeAutospacing="0" w:after="0" w:afterAutospacing="0"/>
        <w:rPr>
          <w:rFonts w:asciiTheme="minorHAnsi" w:hAnsiTheme="minorHAnsi"/>
        </w:rPr>
      </w:pPr>
      <w:r w:rsidRPr="004D3038">
        <w:rPr>
          <w:rFonts w:asciiTheme="minorHAnsi" w:hAnsiTheme="minorHAnsi" w:cs="Arial"/>
          <w:color w:val="000000"/>
          <w:sz w:val="22"/>
          <w:szCs w:val="22"/>
        </w:rPr>
        <w:t>Ici on peut voir 2 AST simple.</w:t>
      </w:r>
    </w:p>
    <w:p w:rsidR="004D3038" w:rsidRPr="004D3038" w:rsidRDefault="004D3038" w:rsidP="004D3038">
      <w:pPr>
        <w:pStyle w:val="NormalWeb"/>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4D3038">
      <w:pPr>
        <w:pStyle w:val="NormalWeb"/>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4D3038" w:rsidRPr="004D3038" w:rsidRDefault="004D3038" w:rsidP="004D3038">
      <w:pPr>
        <w:spacing w:after="240"/>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Dans le processus de compilation du code source, un AST est généré, puis ce dernier est exécuté. Il est très bien possible de retrouver le même AST depuis un code à la base en C#... ou en Javascript !</w:t>
      </w:r>
    </w:p>
    <w:p w:rsidR="004D3038" w:rsidRDefault="004D3038" w:rsidP="004D3038"/>
    <w:p w:rsidR="004D3038" w:rsidRDefault="004D3038" w:rsidP="00350A4D">
      <w:pPr>
        <w:pStyle w:val="Titre2"/>
      </w:pPr>
      <w:r>
        <w:t>Linq.Expressions</w:t>
      </w:r>
    </w:p>
    <w:p w:rsidR="004D3038" w:rsidRPr="00E07B66" w:rsidRDefault="004D3038" w:rsidP="004D3038">
      <w:pPr>
        <w:pStyle w:val="NormalWeb"/>
        <w:spacing w:before="0" w:beforeAutospacing="0" w:after="0" w:afterAutospacing="0"/>
        <w:rPr>
          <w:rFonts w:asciiTheme="minorHAnsi" w:hAnsiTheme="minorHAnsi"/>
          <w:sz w:val="22"/>
          <w:szCs w:val="22"/>
        </w:rPr>
      </w:pPr>
      <w:hyperlink r:id="rId10" w:history="1">
        <w:r w:rsidRPr="00E07B66">
          <w:rPr>
            <w:rStyle w:val="Lienhypertexte"/>
            <w:rFonts w:asciiTheme="minorHAnsi" w:hAnsiTheme="minorHAnsi" w:cs="Arial"/>
            <w:color w:val="1155CC"/>
            <w:sz w:val="22"/>
            <w:szCs w:val="22"/>
          </w:rPr>
          <w:t>https://msdn.microsoft.com/en-us/library/system.linq.expressions(v=vs.110).aspx</w:t>
        </w:r>
      </w:hyperlink>
    </w:p>
    <w:p w:rsidR="004D3038" w:rsidRPr="00E07B66" w:rsidRDefault="004D3038" w:rsidP="004D3038"/>
    <w:p w:rsidR="004D3038" w:rsidRPr="00E07B66" w:rsidRDefault="004D3038" w:rsidP="007126C9">
      <w:pPr>
        <w:pStyle w:val="NormalWeb"/>
        <w:spacing w:before="0" w:beforeAutospacing="0" w:after="0" w:afterAutospacing="0"/>
        <w:rPr>
          <w:rFonts w:asciiTheme="minorHAnsi" w:hAnsiTheme="minorHAnsi"/>
          <w:sz w:val="22"/>
          <w:szCs w:val="22"/>
        </w:rPr>
      </w:pPr>
      <w:r w:rsidRPr="00E07B66">
        <w:rPr>
          <w:rFonts w:asciiTheme="minorHAnsi" w:hAnsiTheme="minorHAnsi" w:cs="Arial"/>
          <w:color w:val="000000"/>
          <w:sz w:val="22"/>
          <w:szCs w:val="22"/>
        </w:rPr>
        <w:t>Guide de survie pour plonger dans les entrailles de Linq.Expression :</w:t>
      </w:r>
    </w:p>
    <w:p w:rsidR="004D3038" w:rsidRPr="00E07B66" w:rsidRDefault="004D3038" w:rsidP="004D3038">
      <w:pPr>
        <w:pStyle w:val="NormalWeb"/>
        <w:spacing w:before="0" w:beforeAutospacing="0" w:after="0" w:afterAutospacing="0"/>
        <w:rPr>
          <w:rFonts w:asciiTheme="minorHAnsi" w:hAnsiTheme="minorHAnsi"/>
          <w:sz w:val="22"/>
          <w:szCs w:val="22"/>
        </w:rPr>
      </w:pPr>
      <w:hyperlink r:id="rId11" w:history="1">
        <w:r w:rsidRPr="00E07B66">
          <w:rPr>
            <w:rStyle w:val="Lienhypertexte"/>
            <w:rFonts w:asciiTheme="minorHAnsi" w:hAnsiTheme="minorHAnsi" w:cs="Arial"/>
            <w:color w:val="1155CC"/>
            <w:sz w:val="22"/>
            <w:szCs w:val="22"/>
          </w:rPr>
          <w:t>https://msdn.microsoft.com/en-us/library/system.linq.expressions.expression(v=vs.110).aspx</w:t>
        </w:r>
      </w:hyperlink>
      <w:r w:rsidRPr="00E07B66">
        <w:rPr>
          <w:rFonts w:asciiTheme="minorHAnsi" w:hAnsiTheme="minorHAnsi" w:cs="Arial"/>
          <w:color w:val="000000"/>
          <w:sz w:val="22"/>
          <w:szCs w:val="22"/>
        </w:rPr>
        <w:t xml:space="preserve"> </w:t>
      </w:r>
    </w:p>
    <w:p w:rsidR="004D3038" w:rsidRDefault="004D3038" w:rsidP="004D3038"/>
    <w:p w:rsidR="004D3038" w:rsidRDefault="004D3038" w:rsidP="00E07B66">
      <w:pPr>
        <w:pStyle w:val="Titre2"/>
      </w:pPr>
      <w:r>
        <w:t>Reverse Polish Notation</w:t>
      </w:r>
    </w:p>
    <w:p w:rsidR="004E3D51" w:rsidRDefault="004D3038" w:rsidP="004D3038">
      <w:pPr>
        <w:pStyle w:val="NormalWeb"/>
        <w:spacing w:before="0" w:beforeAutospacing="0" w:after="0" w:afterAutospacing="0"/>
        <w:rPr>
          <w:rFonts w:asciiTheme="minorHAnsi" w:hAnsiTheme="minorHAnsi" w:cs="Arial"/>
          <w:color w:val="000000"/>
          <w:sz w:val="22"/>
          <w:szCs w:val="22"/>
        </w:rPr>
      </w:pPr>
      <w:hyperlink r:id="rId12" w:history="1">
        <w:r w:rsidRPr="00E07B66">
          <w:rPr>
            <w:rStyle w:val="Lienhypertexte"/>
            <w:rFonts w:asciiTheme="minorHAnsi" w:hAnsiTheme="minorHAnsi" w:cs="Arial"/>
            <w:color w:val="1155CC"/>
            <w:sz w:val="22"/>
            <w:szCs w:val="22"/>
          </w:rPr>
          <w:t>https://en.wikipedia.org/wiki/Reverse_Polish_notation</w:t>
        </w:r>
      </w:hyperlink>
      <w:r w:rsidRPr="00E07B66">
        <w:rPr>
          <w:rFonts w:asciiTheme="minorHAnsi" w:hAnsiTheme="minorHAnsi" w:cs="Arial"/>
          <w:color w:val="000000"/>
          <w:sz w:val="22"/>
          <w:szCs w:val="22"/>
        </w:rPr>
        <w:t xml:space="preserve"> </w:t>
      </w:r>
    </w:p>
    <w:p w:rsidR="004E3D51" w:rsidRDefault="004E3D51">
      <w:pPr>
        <w:rPr>
          <w:rFonts w:eastAsia="Times New Roman" w:cs="Arial"/>
          <w:color w:val="000000"/>
          <w:lang w:eastAsia="fr-FR"/>
        </w:rPr>
      </w:pPr>
      <w:r>
        <w:rPr>
          <w:rFonts w:cs="Arial"/>
          <w:color w:val="000000"/>
        </w:rPr>
        <w:br w:type="page"/>
      </w:r>
    </w:p>
    <w:p w:rsidR="004D3038" w:rsidRPr="00E07B66" w:rsidRDefault="004D3038" w:rsidP="004D3038">
      <w:pPr>
        <w:pStyle w:val="NormalWeb"/>
        <w:spacing w:before="0" w:beforeAutospacing="0" w:after="0" w:afterAutospacing="0"/>
        <w:rPr>
          <w:rFonts w:asciiTheme="minorHAnsi" w:hAnsiTheme="minorHAnsi"/>
          <w:sz w:val="22"/>
          <w:szCs w:val="22"/>
        </w:rPr>
      </w:pPr>
    </w:p>
    <w:p w:rsidR="004D3038" w:rsidRDefault="00350A4D" w:rsidP="00B83246">
      <w:pPr>
        <w:pStyle w:val="Titre2"/>
      </w:pPr>
      <w:r>
        <w:t>À</w:t>
      </w:r>
      <w:r w:rsidR="004D3038">
        <w:t xml:space="preserve"> vous de jouer !</w:t>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ITI.NoMonkeyTree.Tests,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ITI.NoMonkeyTree,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Pour faire tourner les tests unitaires il vous suffit de configurer le projet ITI.NoMonkeyTree.Tests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4D3038" w:rsidRPr="00E07B66" w:rsidRDefault="00174055" w:rsidP="004D3038">
      <w:pPr>
        <w:spacing w:after="240"/>
      </w:pPr>
      <w:r w:rsidRPr="00174055">
        <w:rPr>
          <w:rFonts w:eastAsia="Times New Roman" w:cs="Arial"/>
          <w:i/>
          <w:iCs/>
          <w:color w:val="000000"/>
          <w:lang w:eastAsia="fr-FR"/>
        </w:rPr>
        <w:drawing>
          <wp:inline distT="0" distB="0" distL="0" distR="0" wp14:anchorId="37E8A3E8" wp14:editId="419710F5">
            <wp:extent cx="5760720" cy="2252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2345"/>
                    </a:xfrm>
                    <a:prstGeom prst="rect">
                      <a:avLst/>
                    </a:prstGeom>
                  </pic:spPr>
                </pic:pic>
              </a:graphicData>
            </a:graphic>
          </wp:inline>
        </w:drawing>
      </w:r>
      <w:r w:rsidR="004D3038" w:rsidRPr="00E07B66">
        <w:br/>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Ce test analyse les objets implémentés dans ITI.NoMonkeyTree.dll et en extrait l’API publique sous forme XML et compare cette API publique avec celle d’origine qui est mémorisée : si d’aventure, vous altérez l’API publique des objets (en ajoutant une méthode, une propriété ou un champ public), il passe au rouge : vous devez vous assurer qu’il reste au vert.</w:t>
      </w:r>
    </w:p>
    <w:p w:rsidR="00EA421B" w:rsidRPr="00E07B66" w:rsidRDefault="00EA421B" w:rsidP="004D3038">
      <w:pPr>
        <w:pStyle w:val="NormalWeb"/>
        <w:spacing w:before="0" w:beforeAutospacing="0" w:after="0" w:afterAutospacing="0"/>
        <w:jc w:val="both"/>
        <w:rPr>
          <w:rFonts w:asciiTheme="minorHAnsi" w:hAnsiTheme="minorHAnsi"/>
          <w:sz w:val="22"/>
          <w:szCs w:val="22"/>
        </w:rPr>
      </w:pP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ITI.NoMonkeyTree</w:t>
      </w:r>
      <w:r>
        <w:rPr>
          <w:rFonts w:asciiTheme="minorHAnsi" w:hAnsiTheme="minorHAnsi" w:cs="Arial"/>
          <w:color w:val="000000"/>
          <w:sz w:val="22"/>
          <w:szCs w:val="22"/>
        </w:rPr>
        <w:t xml:space="preserve"> mais il vous est bien évidemment interdit de modifier le projet de test pour passer </w:t>
      </w:r>
      <w:r w:rsidR="00C61B45">
        <w:rPr>
          <w:rFonts w:asciiTheme="minorHAnsi" w:hAnsiTheme="minorHAnsi" w:cs="Arial"/>
          <w:color w:val="000000"/>
          <w:sz w:val="22"/>
          <w:szCs w:val="22"/>
        </w:rPr>
        <w:t>valider les</w:t>
      </w:r>
      <w:bookmarkStart w:id="0" w:name="_GoBack"/>
      <w:bookmarkEnd w:id="0"/>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4D3038" w:rsidRPr="00E07B66" w:rsidRDefault="004D3038" w:rsidP="004D3038">
      <w:pPr>
        <w:spacing w:after="240"/>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4D3038" w:rsidP="004D3038">
      <w:pPr>
        <w:pStyle w:val="NormalWeb"/>
        <w:spacing w:before="0" w:beforeAutospacing="0" w:after="0" w:afterAutospacing="0"/>
        <w:rPr>
          <w:rFonts w:asciiTheme="minorHAnsi" w:hAnsiTheme="minorHAnsi"/>
          <w:sz w:val="22"/>
          <w:szCs w:val="22"/>
        </w:rPr>
      </w:pPr>
      <w:hyperlink r:id="rId14" w:anchor="System.Core/Microsoft/Scripting/Ast/Expression.cs" w:history="1">
        <w:r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5"/>
      <w:footerReference w:type="default" r:id="rId16"/>
      <w:footerReference w:type="first" r:id="rId17"/>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59" w:rsidRDefault="00A54A59" w:rsidP="00490BDC">
      <w:pPr>
        <w:spacing w:after="0" w:line="240" w:lineRule="auto"/>
      </w:pPr>
      <w:r>
        <w:separator/>
      </w:r>
    </w:p>
  </w:endnote>
  <w:endnote w:type="continuationSeparator" w:id="0">
    <w:p w:rsidR="00A54A59" w:rsidRDefault="00A54A59"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FF5768">
                            <w:rPr>
                              <w:rFonts w:ascii="Conduit ITC Light" w:hAnsi="Conduit ITC Light"/>
                              <w:noProof/>
                              <w:sz w:val="16"/>
                              <w:szCs w:val="16"/>
                            </w:rPr>
                            <w:t>11/02/2018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FF5768">
                      <w:rPr>
                        <w:rFonts w:ascii="Conduit ITC Light" w:hAnsi="Conduit ITC Light"/>
                        <w:noProof/>
                        <w:sz w:val="16"/>
                        <w:szCs w:val="16"/>
                      </w:rPr>
                      <w:t>11/02/2018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Olivier Spinelli</w:t>
                        </w:r>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C61B45">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r w:rsidR="00A54A59">
                            <w:fldChar w:fldCharType="begin"/>
                          </w:r>
                          <w:r w:rsidR="00A54A59">
                            <w:instrText>NUMPAGES  \* Arabic  \* MERGEFORMAT</w:instrText>
                          </w:r>
                          <w:r w:rsidR="00A54A59">
                            <w:fldChar w:fldCharType="separate"/>
                          </w:r>
                          <w:r w:rsidR="00C61B45" w:rsidRPr="00C61B45">
                            <w:rPr>
                              <w:rFonts w:ascii="Conduit ITC Light" w:hAnsi="Conduit ITC Light"/>
                              <w:b/>
                              <w:noProof/>
                              <w:sz w:val="24"/>
                            </w:rPr>
                            <w:t>3</w:t>
                          </w:r>
                          <w:r w:rsidR="00A54A59">
                            <w:rPr>
                              <w:rFonts w:ascii="Conduit ITC Light" w:hAnsi="Conduit ITC Light"/>
                              <w:b/>
                              <w:noProof/>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C61B45">
                      <w:rPr>
                        <w:rFonts w:ascii="Conduit ITC Light" w:hAnsi="Conduit ITC Light"/>
                        <w:b/>
                        <w:noProof/>
                        <w:sz w:val="24"/>
                      </w:rPr>
                      <w:t>2</w:t>
                    </w:r>
                    <w:r w:rsidRPr="00034F3D">
                      <w:rPr>
                        <w:rFonts w:ascii="Conduit ITC Light" w:hAnsi="Conduit ITC Light"/>
                        <w:b/>
                        <w:sz w:val="24"/>
                      </w:rPr>
                      <w:fldChar w:fldCharType="end"/>
                    </w:r>
                    <w:r w:rsidR="00034F3D" w:rsidRPr="00034F3D">
                      <w:rPr>
                        <w:rFonts w:ascii="Conduit ITC Light" w:hAnsi="Conduit ITC Light"/>
                        <w:sz w:val="24"/>
                      </w:rPr>
                      <w:t>/</w:t>
                    </w:r>
                    <w:r w:rsidR="00A54A59">
                      <w:fldChar w:fldCharType="begin"/>
                    </w:r>
                    <w:r w:rsidR="00A54A59">
                      <w:instrText>NUMPAGES  \* Arabic  \* MERGEFORMAT</w:instrText>
                    </w:r>
                    <w:r w:rsidR="00A54A59">
                      <w:fldChar w:fldCharType="separate"/>
                    </w:r>
                    <w:r w:rsidR="00C61B45" w:rsidRPr="00C61B45">
                      <w:rPr>
                        <w:rFonts w:ascii="Conduit ITC Light" w:hAnsi="Conduit ITC Light"/>
                        <w:b/>
                        <w:noProof/>
                        <w:sz w:val="24"/>
                      </w:rPr>
                      <w:t>3</w:t>
                    </w:r>
                    <w:r w:rsidR="00A54A59">
                      <w:rPr>
                        <w:rFonts w:ascii="Conduit ITC Light" w:hAnsi="Conduit ITC Light"/>
                        <w:b/>
                        <w:noProof/>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59" w:rsidRDefault="00A54A59" w:rsidP="00490BDC">
      <w:pPr>
        <w:spacing w:after="0" w:line="240" w:lineRule="auto"/>
      </w:pPr>
      <w:r>
        <w:separator/>
      </w:r>
    </w:p>
  </w:footnote>
  <w:footnote w:type="continuationSeparator" w:id="0">
    <w:p w:rsidR="00A54A59" w:rsidRDefault="00A54A59"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r w:rsidR="00FF5768" w:rsidRPr="00466B2E">
          <w:rPr>
            <w:rFonts w:ascii="Conduit ITC Light" w:hAnsi="Conduit ITC Light"/>
            <w:color w:val="464B4C"/>
            <w:lang w:val="en-US"/>
          </w:rPr>
          <w:t>Exercice :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6"/>
  </w:num>
  <w:num w:numId="11">
    <w:abstractNumId w:val="7"/>
  </w:num>
  <w:num w:numId="12">
    <w:abstractNumId w:val="3"/>
  </w:num>
  <w:num w:numId="13">
    <w:abstractNumId w:val="12"/>
  </w:num>
  <w:num w:numId="14">
    <w:abstractNumId w:val="17"/>
  </w:num>
  <w:num w:numId="15">
    <w:abstractNumId w:val="4"/>
  </w:num>
  <w:num w:numId="16">
    <w:abstractNumId w:val="11"/>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7AAA"/>
    <w:rsid w:val="00323534"/>
    <w:rsid w:val="00350A4D"/>
    <w:rsid w:val="00366733"/>
    <w:rsid w:val="00376604"/>
    <w:rsid w:val="00382B4E"/>
    <w:rsid w:val="003A3651"/>
    <w:rsid w:val="003B44AF"/>
    <w:rsid w:val="003C10EF"/>
    <w:rsid w:val="003C3A7B"/>
    <w:rsid w:val="003C5236"/>
    <w:rsid w:val="003C5D96"/>
    <w:rsid w:val="003E1FE0"/>
    <w:rsid w:val="003E280E"/>
    <w:rsid w:val="004075B6"/>
    <w:rsid w:val="00412754"/>
    <w:rsid w:val="00412ACA"/>
    <w:rsid w:val="00420CAA"/>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B622D"/>
    <w:rsid w:val="006C4910"/>
    <w:rsid w:val="006C4A46"/>
    <w:rsid w:val="006F3C3E"/>
    <w:rsid w:val="007126C9"/>
    <w:rsid w:val="00713F5D"/>
    <w:rsid w:val="00722BC0"/>
    <w:rsid w:val="00735A83"/>
    <w:rsid w:val="00754BA6"/>
    <w:rsid w:val="007610DC"/>
    <w:rsid w:val="00783D8D"/>
    <w:rsid w:val="0078501E"/>
    <w:rsid w:val="00794C6C"/>
    <w:rsid w:val="007D0E6C"/>
    <w:rsid w:val="007D58A5"/>
    <w:rsid w:val="007E0EA9"/>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29B2"/>
    <w:rsid w:val="009A3DF5"/>
    <w:rsid w:val="009B44AB"/>
    <w:rsid w:val="009B5790"/>
    <w:rsid w:val="009E3074"/>
    <w:rsid w:val="009F12EC"/>
    <w:rsid w:val="00A0432F"/>
    <w:rsid w:val="00A23020"/>
    <w:rsid w:val="00A30B20"/>
    <w:rsid w:val="00A54A59"/>
    <w:rsid w:val="00A80481"/>
    <w:rsid w:val="00A86F71"/>
    <w:rsid w:val="00A900B0"/>
    <w:rsid w:val="00A916C5"/>
    <w:rsid w:val="00AA56D8"/>
    <w:rsid w:val="00AB0E90"/>
    <w:rsid w:val="00AC454A"/>
    <w:rsid w:val="00AD1038"/>
    <w:rsid w:val="00AD3C69"/>
    <w:rsid w:val="00AE3498"/>
    <w:rsid w:val="00AE579A"/>
    <w:rsid w:val="00AF540A"/>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426E"/>
    <w:rsid w:val="00C102C1"/>
    <w:rsid w:val="00C132DF"/>
    <w:rsid w:val="00C20B64"/>
    <w:rsid w:val="00C2720A"/>
    <w:rsid w:val="00C41252"/>
    <w:rsid w:val="00C61697"/>
    <w:rsid w:val="00C61B45"/>
    <w:rsid w:val="00C64F5C"/>
    <w:rsid w:val="00C905EF"/>
    <w:rsid w:val="00CC298A"/>
    <w:rsid w:val="00CC36C6"/>
    <w:rsid w:val="00CC7752"/>
    <w:rsid w:val="00CD09EC"/>
    <w:rsid w:val="00CD5D80"/>
    <w:rsid w:val="00CD781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47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verse_Polish_notatio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msdn.microsoft.com/en-us/library/system.linq.expressions(v=vs.110).aspx"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referencesource.microsof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231013"/>
    <w:rsid w:val="00355C03"/>
    <w:rsid w:val="00371A02"/>
    <w:rsid w:val="003C60F0"/>
    <w:rsid w:val="00481F1A"/>
    <w:rsid w:val="00553286"/>
    <w:rsid w:val="00565509"/>
    <w:rsid w:val="006C239E"/>
    <w:rsid w:val="006E2545"/>
    <w:rsid w:val="007540DD"/>
    <w:rsid w:val="007F6CCB"/>
    <w:rsid w:val="00807060"/>
    <w:rsid w:val="008E3607"/>
    <w:rsid w:val="008F265E"/>
    <w:rsid w:val="009120F2"/>
    <w:rsid w:val="009B1805"/>
    <w:rsid w:val="009C05EA"/>
    <w:rsid w:val="009C2690"/>
    <w:rsid w:val="00AD6F47"/>
    <w:rsid w:val="00BB7F2C"/>
    <w:rsid w:val="00C7521F"/>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EFB1B-4140-49B8-811E-FA1DE3770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1597</TotalTime>
  <Pages>3</Pages>
  <Words>442</Words>
  <Characters>2433</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Exercice : Le jeu de la vie</vt:lpstr>
      <vt:lpstr>Exercice : les comptes bancaires</vt:lpstr>
    </vt:vector>
  </TitlesOfParts>
  <Company/>
  <LinksUpToDate>false</LinksUpToDate>
  <CharactersWithSpaces>2870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128</cp:revision>
  <cp:lastPrinted>2016-03-04T09:05:00Z</cp:lastPrinted>
  <dcterms:created xsi:type="dcterms:W3CDTF">2016-01-15T10:15:00Z</dcterms:created>
  <dcterms:modified xsi:type="dcterms:W3CDTF">2018-02-11T20:20:00Z</dcterms:modified>
  <cp:category>Nom du projet</cp:category>
</cp:coreProperties>
</file>